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923"/>
        <w:gridCol w:w="619"/>
        <w:gridCol w:w="5560"/>
      </w:tblGrid>
      <w:tr w:rsidR="006A6259" w:rsidRPr="00B25F8B" w:rsidTr="00AD0C0A">
        <w:trPr>
          <w:trHeight w:val="405"/>
          <w:jc w:val="center"/>
        </w:trPr>
        <w:tc>
          <w:tcPr>
            <w:tcW w:w="16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HỘI ĐỒNG NHÂN DÂN</w:t>
            </w:r>
          </w:p>
          <w:p w:rsidR="006A6259" w:rsidRPr="00B25F8B" w:rsidRDefault="00BD6D3E" w:rsidP="00C075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  <w:bookmarkStart w:id="0" w:name="0.1_graphic04"/>
            <w:bookmarkEnd w:id="0"/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highlight w:val="white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209549</wp:posOffset>
                      </wp:positionV>
                      <wp:extent cx="818515" cy="0"/>
                      <wp:effectExtent l="0" t="0" r="19685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539B9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4pt,16.5pt" to="104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eo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xn82k2xYg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IaMiY3AAAAAgBAAAPAAAAZHJzL2Rvd25yZXYueG1sTI/BTsMwEETvSPyDtUhcqtYmkaCE&#10;OBUCcuNCAfW6TZYkIl6nsdsGvp5FPcBxdlYzb/LV5Hp1oDF0ni1cLQwo4srXHTcW3l7L+RJUiMg1&#10;9p7JwhcFWBXnZzlmtT/yCx3WsVESwiFDC22MQ6Z1qFpyGBZ+IBbvw48Oo8ix0fWIRwl3vU6MudYO&#10;O5aGFgd6aKn6XO+dhVC+0678nlUzs0kbT8nu8fkJrb28mO7vQEWa4t8z/OILOhTCtPV7roPqLSyN&#10;kEcLaSqTxE/M7Q2o7emgi1z/H1D8AAAA//8DAFBLAQItABQABgAIAAAAIQC2gziS/gAAAOEBAAAT&#10;AAAAAAAAAAAAAAAAAAAAAABbQ29udGVudF9UeXBlc10ueG1sUEsBAi0AFAAGAAgAAAAhADj9If/W&#10;AAAAlAEAAAsAAAAAAAAAAAAAAAAALwEAAF9yZWxzLy5yZWxzUEsBAi0AFAAGAAgAAAAhACpu16gR&#10;AgAAJwQAAA4AAAAAAAAAAAAAAAAALgIAAGRycy9lMm9Eb2MueG1sUEsBAi0AFAAGAAgAAAAhAAho&#10;yJjcAAAACAEAAA8AAAAAAAAAAAAAAAAAawQAAGRycy9kb3ducmV2LnhtbFBLBQYAAAAABAAEAPMA&#10;AAB0BQAAAAA=&#10;"/>
                  </w:pict>
                </mc:Fallback>
              </mc:AlternateContent>
            </w:r>
            <w:r w:rsidR="006A6259" w:rsidRPr="00B25F8B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TỈNH QUẢNG NGÃI</w:t>
            </w:r>
          </w:p>
        </w:tc>
        <w:tc>
          <w:tcPr>
            <w:tcW w:w="3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CỘNG HÒA XÃ HỘI CHỦ NGHĨA VIỆT NAM</w:t>
            </w:r>
          </w:p>
          <w:p w:rsidR="006A6259" w:rsidRPr="00B25F8B" w:rsidRDefault="006A6259" w:rsidP="00C0757C">
            <w:pPr>
              <w:snapToGrid w:val="0"/>
              <w:jc w:val="center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bookmarkStart w:id="1" w:name="0.1_graphic05"/>
            <w:bookmarkEnd w:id="1"/>
            <w:r w:rsidRPr="00B25F8B">
              <w:rPr>
                <w:rFonts w:ascii="Times New Roman" w:hAnsi="Times New Roman"/>
                <w:b/>
                <w:bCs/>
                <w:szCs w:val="28"/>
                <w:highlight w:val="white"/>
                <w:lang w:val="en-US"/>
              </w:rPr>
              <w:t>Độc lập - Tự do - Hạnh phúc</w:t>
            </w:r>
          </w:p>
        </w:tc>
      </w:tr>
      <w:tr w:rsidR="006A6259" w:rsidRPr="00B25F8B" w:rsidTr="00AD0C0A">
        <w:trPr>
          <w:jc w:val="center"/>
        </w:trPr>
        <w:tc>
          <w:tcPr>
            <w:tcW w:w="16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BD6D3E">
            <w:pPr>
              <w:snapToGrid w:val="0"/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 xml:space="preserve">Số:  </w:t>
            </w:r>
            <w:r w:rsidR="00BD6D3E"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15</w:t>
            </w:r>
            <w:r w:rsidR="0030124D" w:rsidRPr="00B25F8B"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/2024</w:t>
            </w:r>
            <w:r w:rsidRPr="00B25F8B"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/NQ-HĐND</w:t>
            </w:r>
          </w:p>
        </w:tc>
        <w:tc>
          <w:tcPr>
            <w:tcW w:w="3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BD6D3E" w:rsidP="00BD6D3E">
            <w:pPr>
              <w:snapToGrid w:val="0"/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noProof/>
                <w:highlight w:val="white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-636</wp:posOffset>
                      </wp:positionV>
                      <wp:extent cx="2165350" cy="0"/>
                      <wp:effectExtent l="0" t="0" r="2540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65D64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-.05pt" to="22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W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bD6bz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rvC0LtkAAAAHAQAADwAAAGRycy9kb3ducmV2LnhtbEyOwU7DMBBE70j8g7VIXKrWbikV&#10;CnEqBOTGhQLiuo2XJCJep7HbBr6epRc4Ps1o5uXr0XfqQENsA1uYzwwo4iq4lmsLry/l9AZUTMgO&#10;u8Bk4YsirIvzsxwzF478TIdNqpWMcMzQQpNSn2kdq4Y8xlnoiSX7CIPHJDjU2g14lHHf6YUxK+2x&#10;ZXlosKf7hqrPzd5biOUb7crvSTUx71d1oMXu4ekRrb28GO9uQSUa018ZfvVFHQpx2oY9u6g6YXMt&#10;6snCdA5K8uVyJbw9sS5y/d+/+AEAAP//AwBQSwECLQAUAAYACAAAACEAtoM4kv4AAADhAQAAEwAA&#10;AAAAAAAAAAAAAAAAAAAAW0NvbnRlbnRfVHlwZXNdLnhtbFBLAQItABQABgAIAAAAIQA4/SH/1gAA&#10;AJQBAAALAAAAAAAAAAAAAAAAAC8BAABfcmVscy8ucmVsc1BLAQItABQABgAIAAAAIQAt1UWnEgIA&#10;ACgEAAAOAAAAAAAAAAAAAAAAAC4CAABkcnMvZTJvRG9jLnhtbFBLAQItABQABgAIAAAAIQCu8LQu&#10;2QAAAAcBAAAPAAAAAAAAAAAAAAAAAGwEAABkcnMvZG93bnJldi54bWxQSwUGAAAAAAQABADzAAAA&#10;cgUAAAAA&#10;"/>
                  </w:pict>
                </mc:Fallback>
              </mc:AlternateContent>
            </w:r>
            <w:r w:rsidR="006A6259" w:rsidRPr="00B25F8B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 xml:space="preserve">Quảng Ngãi, ngày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>18</w:t>
            </w:r>
            <w:bookmarkStart w:id="2" w:name="_GoBack"/>
            <w:bookmarkEnd w:id="2"/>
            <w:r w:rsidR="006A6259" w:rsidRPr="00B25F8B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 xml:space="preserve">  tháng </w:t>
            </w:r>
            <w:r w:rsidR="00BA362D" w:rsidRPr="00B25F8B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>6</w:t>
            </w:r>
            <w:r w:rsidR="006A6259" w:rsidRPr="00B25F8B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 xml:space="preserve"> năm 202</w:t>
            </w:r>
            <w:r w:rsidR="00B6111B" w:rsidRPr="00B25F8B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  <w:lang w:val="en-US"/>
              </w:rPr>
              <w:t>4</w:t>
            </w:r>
          </w:p>
        </w:tc>
      </w:tr>
    </w:tbl>
    <w:p w:rsidR="006A6259" w:rsidRPr="00BD6D3E" w:rsidRDefault="006A6259" w:rsidP="0052496B">
      <w:pPr>
        <w:snapToGrid w:val="0"/>
        <w:spacing w:before="480" w:after="120"/>
        <w:jc w:val="center"/>
        <w:rPr>
          <w:rFonts w:ascii="Times New Roman" w:hAnsi="Times New Roman"/>
          <w:b/>
          <w:bCs/>
          <w:szCs w:val="28"/>
          <w:highlight w:val="white"/>
        </w:rPr>
      </w:pPr>
      <w:r w:rsidRPr="00BD6D3E">
        <w:rPr>
          <w:rFonts w:ascii="Times New Roman" w:hAnsi="Times New Roman"/>
          <w:b/>
          <w:bCs/>
          <w:szCs w:val="28"/>
          <w:highlight w:val="white"/>
        </w:rPr>
        <w:t>NGHỊ QUYẾT</w:t>
      </w:r>
    </w:p>
    <w:p w:rsidR="00DC5358" w:rsidRPr="00BD6D3E" w:rsidRDefault="00C60864" w:rsidP="00AD0C0A">
      <w:pPr>
        <w:snapToGrid w:val="0"/>
        <w:jc w:val="center"/>
        <w:rPr>
          <w:rFonts w:ascii="Times New Roman" w:hAnsi="Times New Roman"/>
          <w:b/>
          <w:szCs w:val="28"/>
          <w:highlight w:val="white"/>
        </w:rPr>
      </w:pPr>
      <w:bookmarkStart w:id="3" w:name="0.1_graphic06"/>
      <w:bookmarkEnd w:id="3"/>
      <w:r w:rsidRPr="00BD6D3E">
        <w:rPr>
          <w:rFonts w:ascii="Times New Roman" w:hAnsi="Times New Roman"/>
          <w:b/>
          <w:szCs w:val="28"/>
          <w:highlight w:val="white"/>
        </w:rPr>
        <w:t>S</w:t>
      </w:r>
      <w:r w:rsidR="00EF2956" w:rsidRPr="00BD6D3E">
        <w:rPr>
          <w:rFonts w:ascii="Times New Roman" w:hAnsi="Times New Roman"/>
          <w:b/>
          <w:szCs w:val="28"/>
          <w:highlight w:val="white"/>
        </w:rPr>
        <w:t xml:space="preserve">ửa đổi, bổ sung một số điều của Nghị quyết số 27/2019/NQ-HĐND </w:t>
      </w:r>
    </w:p>
    <w:p w:rsidR="006A6259" w:rsidRPr="00B25F8B" w:rsidRDefault="00EF2956" w:rsidP="00AD0C0A">
      <w:pPr>
        <w:snapToGrid w:val="0"/>
        <w:jc w:val="center"/>
        <w:rPr>
          <w:rFonts w:ascii="Times New Roman" w:hAnsi="Times New Roman"/>
          <w:b/>
          <w:szCs w:val="28"/>
          <w:highlight w:val="white"/>
          <w:lang w:val="nl-NL"/>
        </w:rPr>
      </w:pPr>
      <w:r w:rsidRPr="00BD6D3E">
        <w:rPr>
          <w:rFonts w:ascii="Times New Roman" w:hAnsi="Times New Roman"/>
          <w:b/>
          <w:szCs w:val="28"/>
          <w:highlight w:val="white"/>
        </w:rPr>
        <w:t>ngày 11</w:t>
      </w:r>
      <w:r w:rsidR="00E17990" w:rsidRPr="00BD6D3E">
        <w:rPr>
          <w:rFonts w:ascii="Times New Roman" w:hAnsi="Times New Roman"/>
          <w:b/>
          <w:szCs w:val="28"/>
          <w:highlight w:val="white"/>
        </w:rPr>
        <w:t xml:space="preserve"> tháng </w:t>
      </w:r>
      <w:r w:rsidRPr="00BD6D3E">
        <w:rPr>
          <w:rFonts w:ascii="Times New Roman" w:hAnsi="Times New Roman"/>
          <w:b/>
          <w:szCs w:val="28"/>
          <w:highlight w:val="white"/>
        </w:rPr>
        <w:t>12</w:t>
      </w:r>
      <w:r w:rsidR="00E17990" w:rsidRPr="00BD6D3E">
        <w:rPr>
          <w:rFonts w:ascii="Times New Roman" w:hAnsi="Times New Roman"/>
          <w:b/>
          <w:szCs w:val="28"/>
          <w:highlight w:val="white"/>
        </w:rPr>
        <w:t xml:space="preserve"> năm </w:t>
      </w:r>
      <w:r w:rsidRPr="00BD6D3E">
        <w:rPr>
          <w:rFonts w:ascii="Times New Roman" w:hAnsi="Times New Roman"/>
          <w:b/>
          <w:szCs w:val="28"/>
          <w:highlight w:val="white"/>
        </w:rPr>
        <w:t xml:space="preserve">2019 của </w:t>
      </w:r>
      <w:r w:rsidR="003E3DF8" w:rsidRPr="00BD6D3E">
        <w:rPr>
          <w:rFonts w:ascii="Times New Roman" w:hAnsi="Times New Roman"/>
          <w:b/>
          <w:szCs w:val="28"/>
          <w:highlight w:val="white"/>
        </w:rPr>
        <w:t>Hội đồng nhân dân</w:t>
      </w:r>
      <w:r w:rsidRPr="00BD6D3E">
        <w:rPr>
          <w:rFonts w:ascii="Times New Roman" w:hAnsi="Times New Roman"/>
          <w:b/>
          <w:szCs w:val="28"/>
          <w:highlight w:val="white"/>
        </w:rPr>
        <w:t xml:space="preserve"> tỉnh về hỗ trợ tiền đóng bảo hiểm y tế trên địa bàn tỉnh Quảng Ngãi</w:t>
      </w:r>
    </w:p>
    <w:p w:rsidR="006A6259" w:rsidRPr="00BD6D3E" w:rsidRDefault="00BD6D3E" w:rsidP="00F04F09">
      <w:pPr>
        <w:snapToGrid w:val="0"/>
        <w:spacing w:after="120"/>
        <w:rPr>
          <w:rFonts w:ascii="Times New Roman" w:hAnsi="Times New Roman"/>
          <w:bCs/>
          <w:szCs w:val="28"/>
          <w:highlight w:val="white"/>
        </w:rPr>
      </w:pPr>
      <w:r>
        <w:rPr>
          <w:b/>
          <w:noProof/>
          <w:highlight w:val="white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24129</wp:posOffset>
                </wp:positionV>
                <wp:extent cx="1772920" cy="0"/>
                <wp:effectExtent l="0" t="0" r="368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9290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3pt,1.9pt" to="29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x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Onp3yRg2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ei2vY9sAAAAHAQAADwAAAGRycy9kb3ducmV2LnhtbEyPwU7DMBBE70j8g7VIXCpqtxVV&#10;CXEqBOTGhQLiuo2XJCJep7HbBr6epRe4zWhGs2/z9eg7daAhtoEtzKYGFHEVXMu1hdeX8moFKiZk&#10;h11gsvBFEdbF+VmOmQtHfqbDJtVKRjhmaKFJqc+0jlVDHuM09MSSfYTBYxI71NoNeJRx3+m5MUvt&#10;sWW50GBP9w1Vn5u9txDLN9qV35NqYt4XdaD57uHpEa29vBjvbkElGtNfGX7xBR0KYdqGPbuoOguL&#10;mVlKVYR8IPn16kbE9uR1kev//MUPAAAA//8DAFBLAQItABQABgAIAAAAIQC2gziS/gAAAOEBAAAT&#10;AAAAAAAAAAAAAAAAAAAAAABbQ29udGVudF9UeXBlc10ueG1sUEsBAi0AFAAGAAgAAAAhADj9If/W&#10;AAAAlAEAAAsAAAAAAAAAAAAAAAAALwEAAF9yZWxzLy5yZWxzUEsBAi0AFAAGAAgAAAAhAB/VzHsS&#10;AgAAKAQAAA4AAAAAAAAAAAAAAAAALgIAAGRycy9lMm9Eb2MueG1sUEsBAi0AFAAGAAgAAAAhAHot&#10;r2PbAAAABwEAAA8AAAAAAAAAAAAAAAAAbAQAAGRycy9kb3ducmV2LnhtbFBLBQYAAAAABAAEAPMA&#10;AAB0BQAAAAA=&#10;"/>
            </w:pict>
          </mc:Fallback>
        </mc:AlternateContent>
      </w:r>
    </w:p>
    <w:p w:rsidR="006A6259" w:rsidRPr="00BD6D3E" w:rsidRDefault="006A6259" w:rsidP="006D2B48">
      <w:pPr>
        <w:snapToGrid w:val="0"/>
        <w:jc w:val="center"/>
        <w:rPr>
          <w:rFonts w:ascii="Times New Roman" w:hAnsi="Times New Roman"/>
          <w:b/>
          <w:szCs w:val="28"/>
          <w:highlight w:val="white"/>
        </w:rPr>
      </w:pPr>
      <w:r w:rsidRPr="00BD6D3E">
        <w:rPr>
          <w:rFonts w:ascii="Times New Roman" w:hAnsi="Times New Roman"/>
          <w:b/>
          <w:bCs/>
          <w:szCs w:val="28"/>
          <w:highlight w:val="white"/>
        </w:rPr>
        <w:t>HỘI ĐỒNG NHÂN DÂN TỈNH QUẢNG NGÃI</w:t>
      </w:r>
    </w:p>
    <w:p w:rsidR="006A6259" w:rsidRPr="00BD6D3E" w:rsidRDefault="006A6259" w:rsidP="006D2B48">
      <w:pPr>
        <w:snapToGrid w:val="0"/>
        <w:jc w:val="center"/>
        <w:rPr>
          <w:rFonts w:ascii="Times New Roman" w:hAnsi="Times New Roman"/>
          <w:b/>
          <w:bCs/>
          <w:szCs w:val="28"/>
          <w:highlight w:val="white"/>
        </w:rPr>
      </w:pPr>
      <w:r w:rsidRPr="00BD6D3E">
        <w:rPr>
          <w:rFonts w:ascii="Times New Roman" w:hAnsi="Times New Roman"/>
          <w:b/>
          <w:bCs/>
          <w:szCs w:val="28"/>
          <w:highlight w:val="white"/>
        </w:rPr>
        <w:t xml:space="preserve">KHÓA XIII KỲ HỌP THỨ </w:t>
      </w:r>
      <w:r w:rsidR="00B6111B" w:rsidRPr="00BD6D3E">
        <w:rPr>
          <w:rFonts w:ascii="Times New Roman" w:hAnsi="Times New Roman"/>
          <w:b/>
          <w:bCs/>
          <w:szCs w:val="28"/>
          <w:highlight w:val="white"/>
        </w:rPr>
        <w:t>2</w:t>
      </w:r>
      <w:r w:rsidR="00E92981" w:rsidRPr="00BD6D3E">
        <w:rPr>
          <w:rFonts w:ascii="Times New Roman" w:hAnsi="Times New Roman"/>
          <w:b/>
          <w:bCs/>
          <w:szCs w:val="28"/>
          <w:highlight w:val="white"/>
        </w:rPr>
        <w:t>4</w:t>
      </w:r>
    </w:p>
    <w:p w:rsidR="006A6259" w:rsidRPr="00BD6D3E" w:rsidRDefault="006A6259" w:rsidP="009910C0">
      <w:pPr>
        <w:snapToGrid w:val="0"/>
        <w:jc w:val="center"/>
        <w:rPr>
          <w:rFonts w:ascii="Times New Roman" w:hAnsi="Times New Roman"/>
          <w:b/>
          <w:szCs w:val="28"/>
          <w:highlight w:val="white"/>
        </w:rPr>
      </w:pPr>
    </w:p>
    <w:p w:rsidR="00B80819" w:rsidRPr="00BD6D3E" w:rsidRDefault="006A6259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Căn cứ Luật Tổ chức chính quyền địa phương ngày 19 tháng 6 năm 2015;</w:t>
      </w:r>
      <w:r w:rsidR="006D2B48" w:rsidRPr="00BD6D3E">
        <w:rPr>
          <w:rFonts w:ascii="Times New Roman" w:hAnsi="Times New Roman"/>
          <w:i/>
          <w:szCs w:val="28"/>
          <w:highlight w:val="white"/>
        </w:rPr>
        <w:t xml:space="preserve"> </w:t>
      </w:r>
      <w:r w:rsidRPr="00BD6D3E">
        <w:rPr>
          <w:rFonts w:ascii="Times New Roman" w:hAnsi="Times New Roman"/>
          <w:i/>
          <w:szCs w:val="28"/>
          <w:highlight w:val="white"/>
        </w:rPr>
        <w:t>Luật sửa đổi, bổ sung một số điều của Luật Tổ chức Chính phủ và Luật Tổ chức chính quyền địa phương ngày 22 tháng 11 năm 2019;</w:t>
      </w:r>
    </w:p>
    <w:p w:rsidR="00B80819" w:rsidRPr="00BD6D3E" w:rsidRDefault="00B80819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>n cứ Luật Bảo hiểm y tế ngày 14 tháng 11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="00036C9A" w:rsidRPr="00BD6D3E">
        <w:rPr>
          <w:rFonts w:ascii="Times New Roman" w:hAnsi="Times New Roman"/>
          <w:i/>
          <w:szCs w:val="28"/>
          <w:highlight w:val="white"/>
        </w:rPr>
        <w:t xml:space="preserve">m 2008; 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Luật sửa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ổi, bổ sung một số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iều</w:t>
      </w:r>
      <w:r w:rsidR="001D3D0A" w:rsidRPr="00BD6D3E">
        <w:rPr>
          <w:rFonts w:ascii="Times New Roman" w:hAnsi="Times New Roman"/>
          <w:i/>
          <w:szCs w:val="28"/>
          <w:highlight w:val="white"/>
        </w:rPr>
        <w:t xml:space="preserve"> của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Luật Bảo hiểm y tế ngày 13 tháng 6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>m 2014;</w:t>
      </w:r>
    </w:p>
    <w:p w:rsidR="00B80819" w:rsidRPr="00BD6D3E" w:rsidRDefault="00B80819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>n cứ Luật Ngân sách nhà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Pr="00BD6D3E">
        <w:rPr>
          <w:rFonts w:ascii="Times New Roman" w:hAnsi="Times New Roman"/>
          <w:i/>
          <w:szCs w:val="28"/>
          <w:highlight w:val="white"/>
        </w:rPr>
        <w:t>ớc ngày 25 tháng 6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>m 2015;</w:t>
      </w:r>
    </w:p>
    <w:p w:rsidR="00252EB0" w:rsidRPr="00BD6D3E" w:rsidRDefault="00252EB0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Căn cứ Luật Cư trú ngày 13 tháng 11 năm 2020;</w:t>
      </w:r>
    </w:p>
    <w:p w:rsidR="00320A9F" w:rsidRPr="00BD6D3E" w:rsidRDefault="001E5EF3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n cứ Nghị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ịnh số 146/2018/N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-CP ngày 17 tháng 10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="00FB202D" w:rsidRPr="00BD6D3E">
        <w:rPr>
          <w:rFonts w:ascii="Times New Roman" w:hAnsi="Times New Roman"/>
          <w:i/>
          <w:szCs w:val="28"/>
          <w:highlight w:val="white"/>
        </w:rPr>
        <w:t>m 2018 của Chính phủ Q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uy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ịnh chi tiết và h</w:t>
      </w:r>
      <w:r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ớng dẫn biện pháp thi hành một số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iều của Luật Bảo hiểm y tế;</w:t>
      </w:r>
      <w:r w:rsidR="00243414" w:rsidRPr="00BD6D3E">
        <w:rPr>
          <w:rFonts w:ascii="Times New Roman" w:hAnsi="Times New Roman"/>
          <w:i/>
          <w:szCs w:val="28"/>
          <w:highlight w:val="white"/>
        </w:rPr>
        <w:t xml:space="preserve"> 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Nghị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>ịnh số 75/2023/N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FE5726" w:rsidRPr="00BD6D3E">
        <w:rPr>
          <w:rFonts w:ascii="Times New Roman" w:hAnsi="Times New Roman"/>
          <w:i/>
          <w:szCs w:val="28"/>
          <w:highlight w:val="white"/>
        </w:rPr>
        <w:t xml:space="preserve">-CP ngày 19 tháng 10 năm 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2023 của Chính phủ sửa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ổi, bổ sung một số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iều của Nghị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>ịnh số 146/2018/N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E56DDC" w:rsidRPr="00BD6D3E">
        <w:rPr>
          <w:rFonts w:ascii="Times New Roman" w:hAnsi="Times New Roman"/>
          <w:i/>
          <w:szCs w:val="28"/>
          <w:highlight w:val="white"/>
        </w:rPr>
        <w:t xml:space="preserve">-CP ngày 17 tháng 10 năm 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2018 của Chính phủ </w:t>
      </w:r>
      <w:r w:rsidR="00FB202D" w:rsidRPr="00BD6D3E">
        <w:rPr>
          <w:rFonts w:ascii="Times New Roman" w:hAnsi="Times New Roman"/>
          <w:i/>
          <w:szCs w:val="28"/>
          <w:highlight w:val="white"/>
        </w:rPr>
        <w:t>Q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uy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>ịnh chi tiết và h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="00320A9F" w:rsidRPr="00BD6D3E">
        <w:rPr>
          <w:rFonts w:ascii="Times New Roman" w:hAnsi="Times New Roman"/>
          <w:i/>
          <w:szCs w:val="28"/>
          <w:highlight w:val="white"/>
        </w:rPr>
        <w:t xml:space="preserve">ớng dẫn biện pháp thi hành một số </w:t>
      </w:r>
      <w:r w:rsidR="00320A9F"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="00320A9F" w:rsidRPr="00BD6D3E">
        <w:rPr>
          <w:rFonts w:ascii="Times New Roman" w:hAnsi="Times New Roman"/>
          <w:i/>
          <w:szCs w:val="28"/>
          <w:highlight w:val="white"/>
        </w:rPr>
        <w:t>iều của Luật Bảo hiểm y tế;</w:t>
      </w:r>
    </w:p>
    <w:p w:rsidR="00043C28" w:rsidRPr="00BD6D3E" w:rsidRDefault="00043C28" w:rsidP="00280187">
      <w:pPr>
        <w:widowControl w:val="0"/>
        <w:snapToGrid w:val="0"/>
        <w:spacing w:before="120"/>
        <w:ind w:firstLine="567"/>
        <w:jc w:val="both"/>
        <w:rPr>
          <w:rFonts w:ascii="Times New Roman" w:hAnsi="Times New Roman"/>
          <w:i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>C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n cứ </w:t>
      </w:r>
      <w:bookmarkStart w:id="4" w:name="_Hlk169012952"/>
      <w:r w:rsidRPr="00BD6D3E">
        <w:rPr>
          <w:rFonts w:ascii="Times New Roman" w:hAnsi="Times New Roman"/>
          <w:i/>
          <w:szCs w:val="28"/>
          <w:highlight w:val="white"/>
        </w:rPr>
        <w:t>Thông t</w:t>
      </w:r>
      <w:r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số 27/2018/TT-BYT ngày 26 tháng 10 n</w:t>
      </w:r>
      <w:r w:rsidRPr="00BD6D3E">
        <w:rPr>
          <w:rFonts w:ascii="Times New Roman" w:hAnsi="Times New Roman" w:hint="eastAsia"/>
          <w:i/>
          <w:szCs w:val="28"/>
          <w:highlight w:val="white"/>
        </w:rPr>
        <w:t>ă</w:t>
      </w:r>
      <w:r w:rsidRPr="00BD6D3E">
        <w:rPr>
          <w:rFonts w:ascii="Times New Roman" w:hAnsi="Times New Roman"/>
          <w:i/>
          <w:szCs w:val="28"/>
          <w:highlight w:val="white"/>
        </w:rPr>
        <w:t>m 2018 của Bộ tr</w:t>
      </w:r>
      <w:r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="00A0106C" w:rsidRPr="00BD6D3E">
        <w:rPr>
          <w:rFonts w:ascii="Times New Roman" w:hAnsi="Times New Roman"/>
          <w:i/>
          <w:szCs w:val="28"/>
          <w:highlight w:val="white"/>
        </w:rPr>
        <w:t>ởng Bộ Y tế H</w:t>
      </w:r>
      <w:r w:rsidRPr="00BD6D3E">
        <w:rPr>
          <w:rFonts w:ascii="Times New Roman" w:hAnsi="Times New Roman" w:hint="eastAsia"/>
          <w:i/>
          <w:szCs w:val="28"/>
          <w:highlight w:val="white"/>
        </w:rPr>
        <w:t>ư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ớng dẫn thực hiện bảo hiểm y tế và khám bệnh, chữa bệnh bảo hiểm y tế liên quan </w:t>
      </w:r>
      <w:r w:rsidRPr="00BD6D3E">
        <w:rPr>
          <w:rFonts w:ascii="Times New Roman" w:hAnsi="Times New Roman" w:hint="eastAsia"/>
          <w:i/>
          <w:szCs w:val="28"/>
          <w:highlight w:val="white"/>
        </w:rPr>
        <w:t>đ</w:t>
      </w:r>
      <w:r w:rsidRPr="00BD6D3E">
        <w:rPr>
          <w:rFonts w:ascii="Times New Roman" w:hAnsi="Times New Roman"/>
          <w:i/>
          <w:szCs w:val="28"/>
          <w:highlight w:val="white"/>
        </w:rPr>
        <w:t>ến HIV/AIDS</w:t>
      </w:r>
      <w:bookmarkEnd w:id="4"/>
      <w:r w:rsidRPr="00BD6D3E">
        <w:rPr>
          <w:rFonts w:ascii="Times New Roman" w:hAnsi="Times New Roman"/>
          <w:i/>
          <w:szCs w:val="28"/>
          <w:highlight w:val="white"/>
        </w:rPr>
        <w:t>;</w:t>
      </w:r>
    </w:p>
    <w:p w:rsidR="006D2B48" w:rsidRPr="00B25F8B" w:rsidRDefault="006A6259" w:rsidP="00280187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/>
          <w:spacing w:val="4"/>
          <w:szCs w:val="28"/>
          <w:highlight w:val="white"/>
        </w:rPr>
      </w:pPr>
      <w:r w:rsidRPr="00BD6D3E">
        <w:rPr>
          <w:rFonts w:ascii="Times New Roman" w:hAnsi="Times New Roman"/>
          <w:i/>
          <w:szCs w:val="28"/>
          <w:highlight w:val="white"/>
        </w:rPr>
        <w:t xml:space="preserve">Xét Tờ trình số </w:t>
      </w:r>
      <w:r w:rsidR="001968A8" w:rsidRPr="00BD6D3E">
        <w:rPr>
          <w:rFonts w:ascii="Times New Roman" w:hAnsi="Times New Roman"/>
          <w:i/>
          <w:szCs w:val="28"/>
          <w:highlight w:val="white"/>
        </w:rPr>
        <w:t>83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/TTr-UBND ngày </w:t>
      </w:r>
      <w:r w:rsidR="00603999" w:rsidRPr="00BD6D3E">
        <w:rPr>
          <w:rFonts w:ascii="Times New Roman" w:hAnsi="Times New Roman"/>
          <w:i/>
          <w:szCs w:val="28"/>
          <w:highlight w:val="white"/>
        </w:rPr>
        <w:t>04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tháng </w:t>
      </w:r>
      <w:r w:rsidR="00603999" w:rsidRPr="00BD6D3E">
        <w:rPr>
          <w:rFonts w:ascii="Times New Roman" w:hAnsi="Times New Roman"/>
          <w:i/>
          <w:szCs w:val="28"/>
          <w:highlight w:val="white"/>
        </w:rPr>
        <w:t>6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năm 202</w:t>
      </w:r>
      <w:r w:rsidR="00B6111B" w:rsidRPr="00BD6D3E">
        <w:rPr>
          <w:rFonts w:ascii="Times New Roman" w:hAnsi="Times New Roman"/>
          <w:i/>
          <w:szCs w:val="28"/>
          <w:highlight w:val="white"/>
        </w:rPr>
        <w:t>4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của </w:t>
      </w:r>
      <w:r w:rsidR="005603FD" w:rsidRPr="00BD6D3E">
        <w:rPr>
          <w:rFonts w:ascii="Times New Roman" w:hAnsi="Times New Roman"/>
          <w:i/>
          <w:szCs w:val="28"/>
          <w:highlight w:val="white"/>
        </w:rPr>
        <w:t>Ủy ban nhân dân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 tỉnh về việc</w:t>
      </w:r>
      <w:r w:rsidR="005177B8" w:rsidRPr="00BD6D3E">
        <w:rPr>
          <w:rFonts w:ascii="Times New Roman" w:hAnsi="Times New Roman"/>
          <w:i/>
          <w:szCs w:val="28"/>
          <w:highlight w:val="white"/>
        </w:rPr>
        <w:t xml:space="preserve"> trình </w:t>
      </w:r>
      <w:r w:rsidR="00C05CED" w:rsidRPr="00BD6D3E">
        <w:rPr>
          <w:rFonts w:ascii="Times New Roman" w:hAnsi="Times New Roman"/>
          <w:i/>
          <w:szCs w:val="28"/>
          <w:highlight w:val="white"/>
        </w:rPr>
        <w:t>Hội đồng nhân dân</w:t>
      </w:r>
      <w:r w:rsidR="005177B8" w:rsidRPr="00BD6D3E">
        <w:rPr>
          <w:rFonts w:ascii="Times New Roman" w:hAnsi="Times New Roman"/>
          <w:i/>
          <w:szCs w:val="28"/>
          <w:highlight w:val="white"/>
        </w:rPr>
        <w:t xml:space="preserve"> tỉnh thông qua Nghị quyết sửa đổi, bổ sung một số điều của Nghị q</w:t>
      </w:r>
      <w:r w:rsidR="005E439A" w:rsidRPr="00BD6D3E">
        <w:rPr>
          <w:rFonts w:ascii="Times New Roman" w:hAnsi="Times New Roman"/>
          <w:i/>
          <w:szCs w:val="28"/>
          <w:highlight w:val="white"/>
        </w:rPr>
        <w:t xml:space="preserve">uyết số 27/2019/NQ-HĐND ngày 11 tháng 12 năm </w:t>
      </w:r>
      <w:r w:rsidR="005177B8" w:rsidRPr="00BD6D3E">
        <w:rPr>
          <w:rFonts w:ascii="Times New Roman" w:hAnsi="Times New Roman"/>
          <w:i/>
          <w:szCs w:val="28"/>
          <w:highlight w:val="white"/>
        </w:rPr>
        <w:t xml:space="preserve">2019 của </w:t>
      </w:r>
      <w:r w:rsidR="000843D6" w:rsidRPr="00BD6D3E">
        <w:rPr>
          <w:rFonts w:ascii="Times New Roman" w:hAnsi="Times New Roman"/>
          <w:i/>
          <w:szCs w:val="28"/>
          <w:highlight w:val="white"/>
        </w:rPr>
        <w:t>Hội đồng nhân dân</w:t>
      </w:r>
      <w:r w:rsidR="005177B8" w:rsidRPr="00BD6D3E">
        <w:rPr>
          <w:rFonts w:ascii="Times New Roman" w:hAnsi="Times New Roman"/>
          <w:i/>
          <w:szCs w:val="28"/>
          <w:highlight w:val="white"/>
        </w:rPr>
        <w:t xml:space="preserve"> tỉnh về hỗ trợ tiền đóng bảo hiểm y tế trên địa bàn tỉnh Quảng Ngãi</w:t>
      </w:r>
      <w:r w:rsidRPr="00BD6D3E">
        <w:rPr>
          <w:rFonts w:ascii="Times New Roman" w:hAnsi="Times New Roman"/>
          <w:i/>
          <w:szCs w:val="28"/>
          <w:highlight w:val="white"/>
        </w:rPr>
        <w:t xml:space="preserve">; </w:t>
      </w:r>
      <w:r w:rsidR="006D2B48" w:rsidRPr="00B25F8B">
        <w:rPr>
          <w:rFonts w:ascii="Times New Roman" w:hAnsi="Times New Roman"/>
          <w:i/>
          <w:spacing w:val="4"/>
          <w:szCs w:val="28"/>
          <w:highlight w:val="white"/>
        </w:rPr>
        <w:t>Báo cáo thẩm tra của Ban Văn hóa - Xã hội Hội đồng nhân dân tỉnh; ý kiến thảo luận của đại biểu Hội đồng nhân dân tại kỳ họp.</w:t>
      </w:r>
    </w:p>
    <w:p w:rsidR="006A6259" w:rsidRPr="00BD6D3E" w:rsidRDefault="006A6259" w:rsidP="0065385A">
      <w:pPr>
        <w:widowControl w:val="0"/>
        <w:snapToGrid w:val="0"/>
        <w:spacing w:before="360" w:after="240"/>
        <w:ind w:firstLine="567"/>
        <w:jc w:val="center"/>
        <w:rPr>
          <w:rFonts w:ascii="Times New Roman" w:hAnsi="Times New Roman"/>
          <w:b/>
          <w:bCs/>
          <w:szCs w:val="28"/>
          <w:highlight w:val="white"/>
        </w:rPr>
      </w:pPr>
      <w:r w:rsidRPr="00BD6D3E">
        <w:rPr>
          <w:rFonts w:ascii="Times New Roman" w:hAnsi="Times New Roman"/>
          <w:b/>
          <w:bCs/>
          <w:szCs w:val="28"/>
          <w:highlight w:val="white"/>
        </w:rPr>
        <w:t>QUYẾT NGHỊ: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/>
          <w:bCs/>
          <w:highlight w:val="white"/>
        </w:rPr>
      </w:pPr>
      <w:r w:rsidRPr="00B25F8B">
        <w:rPr>
          <w:rFonts w:hint="eastAsia"/>
          <w:b/>
          <w:bCs/>
          <w:highlight w:val="white"/>
        </w:rPr>
        <w:t>Đ</w:t>
      </w:r>
      <w:r w:rsidRPr="00B25F8B">
        <w:rPr>
          <w:b/>
          <w:bCs/>
          <w:highlight w:val="white"/>
        </w:rPr>
        <w:t xml:space="preserve">iều 1. Sửa </w:t>
      </w:r>
      <w:r w:rsidRPr="00B25F8B">
        <w:rPr>
          <w:rFonts w:hint="eastAsia"/>
          <w:b/>
          <w:bCs/>
          <w:highlight w:val="white"/>
        </w:rPr>
        <w:t>đ</w:t>
      </w:r>
      <w:r w:rsidRPr="00B25F8B">
        <w:rPr>
          <w:b/>
          <w:bCs/>
          <w:highlight w:val="white"/>
        </w:rPr>
        <w:t xml:space="preserve">ổi, bổ sung một số </w:t>
      </w:r>
      <w:r w:rsidRPr="00B25F8B">
        <w:rPr>
          <w:rFonts w:hint="eastAsia"/>
          <w:b/>
          <w:bCs/>
          <w:highlight w:val="white"/>
        </w:rPr>
        <w:t>đ</w:t>
      </w:r>
      <w:r w:rsidRPr="00B25F8B">
        <w:rPr>
          <w:b/>
          <w:bCs/>
          <w:highlight w:val="white"/>
        </w:rPr>
        <w:t>iều của Nghị quyết số 27/2019/NQ-H</w:t>
      </w:r>
      <w:r w:rsidRPr="00B25F8B">
        <w:rPr>
          <w:rFonts w:hint="eastAsia"/>
          <w:b/>
          <w:bCs/>
          <w:highlight w:val="white"/>
        </w:rPr>
        <w:t>Đ</w:t>
      </w:r>
      <w:r w:rsidR="000C3697">
        <w:rPr>
          <w:b/>
          <w:bCs/>
          <w:highlight w:val="white"/>
        </w:rPr>
        <w:t xml:space="preserve">ND ngày 11 tháng 12 năm </w:t>
      </w:r>
      <w:r w:rsidRPr="00B25F8B">
        <w:rPr>
          <w:b/>
          <w:bCs/>
          <w:highlight w:val="white"/>
        </w:rPr>
        <w:t xml:space="preserve">2019 của </w:t>
      </w:r>
      <w:r w:rsidR="00EF56E5">
        <w:rPr>
          <w:b/>
          <w:bCs/>
          <w:highlight w:val="white"/>
        </w:rPr>
        <w:t>Hội đồng nhân dân</w:t>
      </w:r>
      <w:r w:rsidRPr="00B25F8B">
        <w:rPr>
          <w:b/>
          <w:bCs/>
          <w:highlight w:val="white"/>
        </w:rPr>
        <w:t xml:space="preserve"> tỉnh về hỗ trợ tiền </w:t>
      </w:r>
      <w:r w:rsidRPr="00B25F8B">
        <w:rPr>
          <w:rFonts w:hint="eastAsia"/>
          <w:b/>
          <w:bCs/>
          <w:highlight w:val="white"/>
        </w:rPr>
        <w:t>đó</w:t>
      </w:r>
      <w:r w:rsidRPr="00B25F8B">
        <w:rPr>
          <w:b/>
          <w:bCs/>
          <w:highlight w:val="white"/>
        </w:rPr>
        <w:t xml:space="preserve">ng bảo hiểm y tế trên </w:t>
      </w:r>
      <w:r w:rsidRPr="00B25F8B">
        <w:rPr>
          <w:rFonts w:hint="eastAsia"/>
          <w:b/>
          <w:bCs/>
          <w:highlight w:val="white"/>
        </w:rPr>
        <w:t>đ</w:t>
      </w:r>
      <w:r w:rsidRPr="00B25F8B">
        <w:rPr>
          <w:b/>
          <w:bCs/>
          <w:highlight w:val="white"/>
        </w:rPr>
        <w:t>ịa bàn tỉnh Quảng Ngãi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lastRenderedPageBreak/>
        <w:t xml:space="preserve">1. Sửa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ổi, bổ sung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iều 1 nh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 sau: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rFonts w:hint="eastAsia"/>
          <w:bCs/>
          <w:highlight w:val="white"/>
        </w:rPr>
        <w:t>“Đ</w:t>
      </w:r>
      <w:r w:rsidRPr="00B25F8B">
        <w:rPr>
          <w:bCs/>
          <w:highlight w:val="white"/>
        </w:rPr>
        <w:t xml:space="preserve">iều 1. Phạm vi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chỉnh,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ối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>ợng áp dụng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1. Phạm vi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iều chỉnh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Nghị quyết này quy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ịnh về hỗ trợ tiền </w:t>
      </w:r>
      <w:r w:rsidRPr="00B25F8B">
        <w:rPr>
          <w:rFonts w:hint="eastAsia"/>
          <w:bCs/>
          <w:highlight w:val="white"/>
        </w:rPr>
        <w:t>đó</w:t>
      </w:r>
      <w:r w:rsidRPr="00B25F8B">
        <w:rPr>
          <w:bCs/>
          <w:highlight w:val="white"/>
        </w:rPr>
        <w:t xml:space="preserve">ng bảo hiểm y tế trên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ịa bàn tỉnh Quảng Ngãi cho các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ối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ợng quy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ịnh tại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4 Nghị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số 146/2018/N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-CP ngày 17 tháng 10 n</w:t>
      </w:r>
      <w:r w:rsidRPr="00B25F8B">
        <w:rPr>
          <w:rFonts w:hint="eastAsia"/>
          <w:bCs/>
          <w:highlight w:val="white"/>
        </w:rPr>
        <w:t>ă</w:t>
      </w:r>
      <w:r w:rsidR="00437ABA">
        <w:rPr>
          <w:bCs/>
          <w:highlight w:val="white"/>
        </w:rPr>
        <w:t>m 2018 của Chính phủ Q</w:t>
      </w:r>
      <w:r w:rsidRPr="00B25F8B">
        <w:rPr>
          <w:bCs/>
          <w:highlight w:val="white"/>
        </w:rPr>
        <w:t xml:space="preserve">uy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chi tiết và 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ớng dẫn biện pháp thi hành một số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của Luật Bảo hiểm y tế </w:t>
      </w:r>
      <w:r w:rsidRPr="00B25F8B">
        <w:rPr>
          <w:rFonts w:hint="eastAsia"/>
          <w:bCs/>
          <w:highlight w:val="white"/>
        </w:rPr>
        <w:t>đư</w:t>
      </w:r>
      <w:r w:rsidRPr="00B25F8B">
        <w:rPr>
          <w:bCs/>
          <w:highlight w:val="white"/>
        </w:rPr>
        <w:t xml:space="preserve">ợc sửa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ổi, bổ sung tại khoản 2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1 Nghị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số 75/2023/N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-CP ngày 19 tháng 10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m 2023 của Chính phủ sửa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ổi, bổ sung một số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của Nghị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số 146/2018/N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-CP ngày 17 tháng 10 n</w:t>
      </w:r>
      <w:r w:rsidRPr="00B25F8B">
        <w:rPr>
          <w:rFonts w:hint="eastAsia"/>
          <w:bCs/>
          <w:highlight w:val="white"/>
        </w:rPr>
        <w:t>ă</w:t>
      </w:r>
      <w:r w:rsidR="00347758">
        <w:rPr>
          <w:bCs/>
          <w:highlight w:val="white"/>
        </w:rPr>
        <w:t>m 2018 của Chính phủ Q</w:t>
      </w:r>
      <w:r w:rsidRPr="00B25F8B">
        <w:rPr>
          <w:bCs/>
          <w:highlight w:val="white"/>
        </w:rPr>
        <w:t xml:space="preserve">uy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chi tiết và 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ớng dẫn biện pháp thi hành một số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của Luật Bảo hiểm y tế và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iểm d khoản 1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iều 5 Thông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 số 27/2018/TT-BYT ngày 26 tháng 10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>m 2018 của Bộ tr</w:t>
      </w:r>
      <w:r w:rsidRPr="00B25F8B">
        <w:rPr>
          <w:rFonts w:hint="eastAsia"/>
          <w:bCs/>
          <w:highlight w:val="white"/>
        </w:rPr>
        <w:t>ư</w:t>
      </w:r>
      <w:r w:rsidR="00D31543">
        <w:rPr>
          <w:bCs/>
          <w:highlight w:val="white"/>
        </w:rPr>
        <w:t>ởng Bộ Y tế 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ớng dẫn thực hiện bảo hiểm y tế và khám bệnh, chữa bệnh bảo hiểm y tế liên quan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ến HIV/AIDS.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2.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ối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>ợng áp dụng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>a) Ng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thuộc hộ gia </w:t>
      </w:r>
      <w:r w:rsidRPr="00B25F8B">
        <w:rPr>
          <w:rFonts w:hint="eastAsia"/>
          <w:bCs/>
          <w:highlight w:val="white"/>
        </w:rPr>
        <w:t>đì</w:t>
      </w:r>
      <w:r w:rsidRPr="00B25F8B">
        <w:rPr>
          <w:bCs/>
          <w:highlight w:val="white"/>
        </w:rPr>
        <w:t xml:space="preserve">nh nghèo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a chiều thiếu hụt các dịch vụ xã hội c</w:t>
      </w:r>
      <w:r w:rsidRPr="00B25F8B">
        <w:rPr>
          <w:rFonts w:hint="eastAsia"/>
          <w:bCs/>
          <w:highlight w:val="white"/>
        </w:rPr>
        <w:t>ơ</w:t>
      </w:r>
      <w:r w:rsidRPr="00B25F8B">
        <w:rPr>
          <w:bCs/>
          <w:highlight w:val="white"/>
        </w:rPr>
        <w:t xml:space="preserve"> bản khác (k</w:t>
      </w:r>
      <w:r w:rsidR="00EA719D">
        <w:rPr>
          <w:bCs/>
          <w:highlight w:val="white"/>
        </w:rPr>
        <w:t>hông thiếu hụt bảo hiểm y tế); n</w:t>
      </w:r>
      <w:r w:rsidRPr="00B25F8B">
        <w:rPr>
          <w:bCs/>
          <w:highlight w:val="white"/>
        </w:rPr>
        <w:t>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thuộc hộ gia </w:t>
      </w:r>
      <w:r w:rsidRPr="00B25F8B">
        <w:rPr>
          <w:rFonts w:hint="eastAsia"/>
          <w:bCs/>
          <w:highlight w:val="white"/>
        </w:rPr>
        <w:t>đì</w:t>
      </w:r>
      <w:r w:rsidR="00120CF0">
        <w:rPr>
          <w:bCs/>
          <w:highlight w:val="white"/>
        </w:rPr>
        <w:t>nh cận nghèo; n</w:t>
      </w:r>
      <w:r w:rsidRPr="00B25F8B">
        <w:rPr>
          <w:bCs/>
          <w:highlight w:val="white"/>
        </w:rPr>
        <w:t>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thuộc hộ gia </w:t>
      </w:r>
      <w:r w:rsidRPr="00B25F8B">
        <w:rPr>
          <w:rFonts w:hint="eastAsia"/>
          <w:bCs/>
          <w:highlight w:val="white"/>
        </w:rPr>
        <w:t>đì</w:t>
      </w:r>
      <w:r w:rsidRPr="00B25F8B">
        <w:rPr>
          <w:bCs/>
          <w:highlight w:val="white"/>
        </w:rPr>
        <w:t>nh làm nông nghiệp, lâm nghiệp, ng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 nghiệp và diêm nghiệp có mứ</w:t>
      </w:r>
      <w:r w:rsidR="00300FC7">
        <w:rPr>
          <w:bCs/>
          <w:highlight w:val="white"/>
        </w:rPr>
        <w:t xml:space="preserve">c sống trung bình; </w:t>
      </w:r>
      <w:r w:rsidR="00C27EBA">
        <w:rPr>
          <w:bCs/>
          <w:highlight w:val="white"/>
        </w:rPr>
        <w:t>h</w:t>
      </w:r>
      <w:r w:rsidRPr="00B25F8B">
        <w:rPr>
          <w:bCs/>
          <w:highlight w:val="white"/>
        </w:rPr>
        <w:t>ọc sinh, sinh viên là con th</w:t>
      </w:r>
      <w:r w:rsidRPr="00B25F8B">
        <w:rPr>
          <w:rFonts w:hint="eastAsia"/>
          <w:bCs/>
          <w:highlight w:val="white"/>
        </w:rPr>
        <w:t>ươ</w:t>
      </w:r>
      <w:r w:rsidRPr="00B25F8B">
        <w:rPr>
          <w:bCs/>
          <w:highlight w:val="white"/>
        </w:rPr>
        <w:t>ng binh, bệnh binh, ng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hoạt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ộng kháng chiến bị nhiễm chất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ộc hóa học suy giảm khả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ng lao </w:t>
      </w:r>
      <w:r w:rsidRPr="00B25F8B">
        <w:rPr>
          <w:rFonts w:hint="eastAsia"/>
          <w:bCs/>
          <w:highlight w:val="white"/>
        </w:rPr>
        <w:t>đ</w:t>
      </w:r>
      <w:r w:rsidR="00CA4FE2">
        <w:rPr>
          <w:bCs/>
          <w:highlight w:val="white"/>
        </w:rPr>
        <w:t>ộng từ 60% trở xuống; h</w:t>
      </w:r>
      <w:r w:rsidRPr="00B25F8B">
        <w:rPr>
          <w:bCs/>
          <w:highlight w:val="white"/>
        </w:rPr>
        <w:t xml:space="preserve">ọc sinh, sinh viên là con gia </w:t>
      </w:r>
      <w:r w:rsidRPr="00B25F8B">
        <w:rPr>
          <w:rFonts w:hint="eastAsia"/>
          <w:bCs/>
          <w:highlight w:val="white"/>
        </w:rPr>
        <w:t>đì</w:t>
      </w:r>
      <w:r w:rsidRPr="00B25F8B">
        <w:rPr>
          <w:bCs/>
          <w:highlight w:val="white"/>
        </w:rPr>
        <w:t xml:space="preserve">nh </w:t>
      </w:r>
      <w:r w:rsidRPr="00B25F8B">
        <w:rPr>
          <w:rFonts w:hint="eastAsia"/>
          <w:bCs/>
          <w:highlight w:val="white"/>
        </w:rPr>
        <w:t>đô</w:t>
      </w:r>
      <w:r w:rsidRPr="00B25F8B">
        <w:rPr>
          <w:bCs/>
          <w:highlight w:val="white"/>
        </w:rPr>
        <w:t>ng con và gặp nhiều khó kh</w:t>
      </w:r>
      <w:r w:rsidRPr="00B25F8B">
        <w:rPr>
          <w:rFonts w:hint="eastAsia"/>
          <w:bCs/>
          <w:highlight w:val="white"/>
        </w:rPr>
        <w:t>ă</w:t>
      </w:r>
      <w:r w:rsidR="00142BF8">
        <w:rPr>
          <w:bCs/>
          <w:highlight w:val="white"/>
        </w:rPr>
        <w:t>n về kinh tế; n</w:t>
      </w:r>
      <w:r w:rsidRPr="00B25F8B">
        <w:rPr>
          <w:bCs/>
          <w:highlight w:val="white"/>
        </w:rPr>
        <w:t>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</w:t>
      </w:r>
      <w:r w:rsidRPr="00B25F8B">
        <w:rPr>
          <w:rFonts w:hint="eastAsia"/>
          <w:bCs/>
          <w:highlight w:val="white"/>
        </w:rPr>
        <w:t>đư</w:t>
      </w:r>
      <w:r w:rsidRPr="00B25F8B">
        <w:rPr>
          <w:bCs/>
          <w:highlight w:val="white"/>
        </w:rPr>
        <w:t>ợc c</w:t>
      </w:r>
      <w:r w:rsidRPr="00B25F8B">
        <w:rPr>
          <w:rFonts w:hint="eastAsia"/>
          <w:bCs/>
          <w:highlight w:val="white"/>
        </w:rPr>
        <w:t>ơ</w:t>
      </w:r>
      <w:r w:rsidRPr="00B25F8B">
        <w:rPr>
          <w:bCs/>
          <w:highlight w:val="white"/>
        </w:rPr>
        <w:t xml:space="preserve"> quan có thẩm quyền xác nhận nhiễm HIV/AIDS ch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a có thẻ bảo hiểm y tế có </w:t>
      </w:r>
      <w:r w:rsidRPr="00B25F8B">
        <w:rPr>
          <w:rFonts w:hint="eastAsia"/>
          <w:bCs/>
          <w:highlight w:val="white"/>
        </w:rPr>
        <w:t>đă</w:t>
      </w:r>
      <w:r w:rsidRPr="00B25F8B">
        <w:rPr>
          <w:bCs/>
          <w:highlight w:val="white"/>
        </w:rPr>
        <w:t>ng ký th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ờng trú hoặc </w:t>
      </w:r>
      <w:r w:rsidRPr="00B25F8B">
        <w:rPr>
          <w:rFonts w:hint="eastAsia"/>
          <w:bCs/>
          <w:highlight w:val="white"/>
        </w:rPr>
        <w:t>đă</w:t>
      </w:r>
      <w:r w:rsidRPr="00B25F8B">
        <w:rPr>
          <w:bCs/>
          <w:highlight w:val="white"/>
        </w:rPr>
        <w:t xml:space="preserve">ng ký tạm trú từ 6 tháng trở lên trên </w:t>
      </w:r>
      <w:r w:rsidRPr="00B25F8B">
        <w:rPr>
          <w:rFonts w:hint="eastAsia"/>
          <w:bCs/>
          <w:highlight w:val="white"/>
        </w:rPr>
        <w:t>đ</w:t>
      </w:r>
      <w:r w:rsidR="00BE636C">
        <w:rPr>
          <w:bCs/>
          <w:highlight w:val="white"/>
        </w:rPr>
        <w:t>ịa bàn tỉnh; n</w:t>
      </w:r>
      <w:r w:rsidRPr="00B25F8B">
        <w:rPr>
          <w:bCs/>
          <w:highlight w:val="white"/>
        </w:rPr>
        <w:t>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dân tộc thiểu số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ang sinh sống tại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ịa bàn các xã khu vực II, khu vực III, thôn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ặc biệt khó kh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n thuộc vùng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ồng bào dân tộc thiểu số và miền núi giai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oạn 2016-2020 mà các xã này không còn trong danh sách các xã khu vực II, khu vực III, thôn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ặc biệt khó kh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n thuộc vùng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ồng bào dân tộc thiểu số và miền núi giai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oạn 2021-2025 theo Quyết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của Thủ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>ớng Chính phủ.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>b) Các c</w:t>
      </w:r>
      <w:r w:rsidRPr="00B25F8B">
        <w:rPr>
          <w:rFonts w:hint="eastAsia"/>
          <w:bCs/>
          <w:highlight w:val="white"/>
        </w:rPr>
        <w:t>ơ</w:t>
      </w:r>
      <w:r w:rsidRPr="00B25F8B">
        <w:rPr>
          <w:bCs/>
          <w:highlight w:val="white"/>
        </w:rPr>
        <w:t xml:space="preserve"> quan, tổ chức, cá nhân khác có liên quan.”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2. Bổ sung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iểm g vào sau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iểm e khoản 1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iều 2 nh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 sau:</w:t>
      </w:r>
    </w:p>
    <w:p w:rsidR="00651CE6" w:rsidRPr="00B25F8B" w:rsidRDefault="00651CE6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“g) Hỗ trợ 30% tiền </w:t>
      </w:r>
      <w:r w:rsidRPr="00B25F8B">
        <w:rPr>
          <w:rFonts w:hint="eastAsia"/>
          <w:bCs/>
          <w:highlight w:val="white"/>
        </w:rPr>
        <w:t>đó</w:t>
      </w:r>
      <w:r w:rsidRPr="00B25F8B">
        <w:rPr>
          <w:bCs/>
          <w:highlight w:val="white"/>
        </w:rPr>
        <w:t>ng bảo hiểm y tế cho ng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 xml:space="preserve">ời dân tộc thiểu số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ang sinh sống tại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ịa bàn các xã khu vực II, khu vực III, thôn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ặc biệt khó kh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n thuộc vùng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ồng bào dân tộc thiểu số và miền núi giai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oạn 2016-2020 mà các xã này không còn trong danh sách các xã khu vực II, khu vực III, thôn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ặc biệt khó kh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n thuộc vùng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ồng bào dân tộc thiểu số và miền núi giai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oạn 2021-2025 theo Quyết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ịnh của Thủ t</w:t>
      </w:r>
      <w:r w:rsidRPr="00B25F8B">
        <w:rPr>
          <w:rFonts w:hint="eastAsia"/>
          <w:bCs/>
          <w:highlight w:val="white"/>
        </w:rPr>
        <w:t>ư</w:t>
      </w:r>
      <w:r w:rsidRPr="00B25F8B">
        <w:rPr>
          <w:bCs/>
          <w:highlight w:val="white"/>
        </w:rPr>
        <w:t>ớng Chính phủ.”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/>
          <w:bCs/>
          <w:highlight w:val="white"/>
        </w:rPr>
      </w:pPr>
      <w:r w:rsidRPr="00B25F8B">
        <w:rPr>
          <w:rFonts w:hint="eastAsia"/>
          <w:b/>
          <w:bCs/>
          <w:highlight w:val="white"/>
        </w:rPr>
        <w:t>Đ</w:t>
      </w:r>
      <w:r w:rsidRPr="00B25F8B">
        <w:rPr>
          <w:b/>
          <w:bCs/>
          <w:highlight w:val="white"/>
        </w:rPr>
        <w:t xml:space="preserve">iều 2. Tổ chức thực hiện 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1. Ủy ban nhân dân tỉnh </w:t>
      </w:r>
      <w:r w:rsidR="00F606FD">
        <w:rPr>
          <w:bCs/>
          <w:highlight w:val="white"/>
        </w:rPr>
        <w:t>triển khai thực hiện Nghị quyết</w:t>
      </w:r>
      <w:r w:rsidRPr="00B25F8B">
        <w:rPr>
          <w:bCs/>
          <w:highlight w:val="white"/>
        </w:rPr>
        <w:t>.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Cs/>
          <w:spacing w:val="-4"/>
          <w:highlight w:val="white"/>
        </w:rPr>
      </w:pPr>
      <w:r w:rsidRPr="00B25F8B">
        <w:rPr>
          <w:bCs/>
          <w:spacing w:val="-4"/>
          <w:highlight w:val="white"/>
        </w:rPr>
        <w:t>2. Th</w:t>
      </w:r>
      <w:r w:rsidRPr="00B25F8B">
        <w:rPr>
          <w:rFonts w:hint="eastAsia"/>
          <w:bCs/>
          <w:spacing w:val="-4"/>
          <w:highlight w:val="white"/>
        </w:rPr>
        <w:t>ư</w:t>
      </w:r>
      <w:r w:rsidRPr="00B25F8B">
        <w:rPr>
          <w:bCs/>
          <w:spacing w:val="-4"/>
          <w:highlight w:val="white"/>
        </w:rPr>
        <w:t xml:space="preserve">ờng trực Hội </w:t>
      </w:r>
      <w:r w:rsidRPr="00B25F8B">
        <w:rPr>
          <w:rFonts w:hint="eastAsia"/>
          <w:bCs/>
          <w:spacing w:val="-4"/>
          <w:highlight w:val="white"/>
        </w:rPr>
        <w:t>đ</w:t>
      </w:r>
      <w:r w:rsidRPr="00B25F8B">
        <w:rPr>
          <w:bCs/>
          <w:spacing w:val="-4"/>
          <w:highlight w:val="white"/>
        </w:rPr>
        <w:t xml:space="preserve">ồng nhân dân tỉnh, các Ban của Hội </w:t>
      </w:r>
      <w:r w:rsidRPr="00B25F8B">
        <w:rPr>
          <w:rFonts w:hint="eastAsia"/>
          <w:bCs/>
          <w:spacing w:val="-4"/>
          <w:highlight w:val="white"/>
        </w:rPr>
        <w:t>đ</w:t>
      </w:r>
      <w:r w:rsidRPr="00B25F8B">
        <w:rPr>
          <w:bCs/>
          <w:spacing w:val="-4"/>
          <w:highlight w:val="white"/>
        </w:rPr>
        <w:t>ồng nhân dân</w:t>
      </w:r>
      <w:r w:rsidR="00E34C08" w:rsidRPr="00B25F8B">
        <w:rPr>
          <w:bCs/>
          <w:spacing w:val="-4"/>
          <w:highlight w:val="white"/>
        </w:rPr>
        <w:t xml:space="preserve"> tỉnh, Tổ đại biểu </w:t>
      </w:r>
      <w:r w:rsidRPr="00B25F8B">
        <w:rPr>
          <w:bCs/>
          <w:spacing w:val="-4"/>
          <w:highlight w:val="white"/>
        </w:rPr>
        <w:t xml:space="preserve">và </w:t>
      </w:r>
      <w:r w:rsidRPr="00B25F8B">
        <w:rPr>
          <w:rFonts w:hint="eastAsia"/>
          <w:bCs/>
          <w:spacing w:val="-4"/>
          <w:highlight w:val="white"/>
        </w:rPr>
        <w:t>đ</w:t>
      </w:r>
      <w:r w:rsidRPr="00B25F8B">
        <w:rPr>
          <w:bCs/>
          <w:spacing w:val="-4"/>
          <w:highlight w:val="white"/>
        </w:rPr>
        <w:t xml:space="preserve">ại biểu Hội </w:t>
      </w:r>
      <w:r w:rsidRPr="00B25F8B">
        <w:rPr>
          <w:rFonts w:hint="eastAsia"/>
          <w:bCs/>
          <w:spacing w:val="-4"/>
          <w:highlight w:val="white"/>
        </w:rPr>
        <w:t>đ</w:t>
      </w:r>
      <w:r w:rsidRPr="00B25F8B">
        <w:rPr>
          <w:bCs/>
          <w:spacing w:val="-4"/>
          <w:highlight w:val="white"/>
        </w:rPr>
        <w:t>ồng nhân dân tỉnh giám sát việc thực hiện Nghị quyết.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/>
          <w:bCs/>
          <w:highlight w:val="white"/>
        </w:rPr>
      </w:pPr>
      <w:r w:rsidRPr="00B25F8B">
        <w:rPr>
          <w:rFonts w:hint="eastAsia"/>
          <w:b/>
          <w:bCs/>
          <w:highlight w:val="white"/>
        </w:rPr>
        <w:lastRenderedPageBreak/>
        <w:t>Đ</w:t>
      </w:r>
      <w:r w:rsidRPr="00B25F8B">
        <w:rPr>
          <w:b/>
          <w:bCs/>
          <w:highlight w:val="white"/>
        </w:rPr>
        <w:t>iều 3. Hiệu lực thi hành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1. Nghị quyết này </w:t>
      </w:r>
      <w:r w:rsidRPr="00B25F8B">
        <w:rPr>
          <w:rFonts w:hint="eastAsia"/>
          <w:bCs/>
          <w:highlight w:val="white"/>
        </w:rPr>
        <w:t>đã</w:t>
      </w:r>
      <w:r w:rsidRPr="00B25F8B">
        <w:rPr>
          <w:bCs/>
          <w:highlight w:val="white"/>
        </w:rPr>
        <w:t xml:space="preserve"> </w:t>
      </w:r>
      <w:r w:rsidRPr="00B25F8B">
        <w:rPr>
          <w:rFonts w:hint="eastAsia"/>
          <w:bCs/>
          <w:highlight w:val="white"/>
        </w:rPr>
        <w:t>đư</w:t>
      </w:r>
      <w:r w:rsidRPr="00B25F8B">
        <w:rPr>
          <w:bCs/>
          <w:highlight w:val="white"/>
        </w:rPr>
        <w:t xml:space="preserve">ợc Hội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ồng nhân dân tỉnh Quảng Ngãi Khóa</w:t>
      </w:r>
      <w:r w:rsidR="00EE7CEC" w:rsidRPr="00B25F8B">
        <w:rPr>
          <w:bCs/>
          <w:highlight w:val="white"/>
        </w:rPr>
        <w:t xml:space="preserve"> XIII</w:t>
      </w:r>
      <w:r w:rsidRPr="00B25F8B">
        <w:rPr>
          <w:bCs/>
          <w:highlight w:val="white"/>
        </w:rPr>
        <w:t xml:space="preserve">  Kỳ họp thứ </w:t>
      </w:r>
      <w:r w:rsidR="00A50760" w:rsidRPr="00B25F8B">
        <w:rPr>
          <w:bCs/>
          <w:highlight w:val="white"/>
        </w:rPr>
        <w:t>24</w:t>
      </w:r>
      <w:r w:rsidRPr="00B25F8B">
        <w:rPr>
          <w:bCs/>
          <w:highlight w:val="white"/>
        </w:rPr>
        <w:t xml:space="preserve"> thông qua ngày </w:t>
      </w:r>
      <w:r w:rsidR="0091602C" w:rsidRPr="00B25F8B">
        <w:rPr>
          <w:bCs/>
          <w:highlight w:val="white"/>
        </w:rPr>
        <w:t>18</w:t>
      </w:r>
      <w:r w:rsidRPr="00B25F8B">
        <w:rPr>
          <w:bCs/>
          <w:highlight w:val="white"/>
        </w:rPr>
        <w:t xml:space="preserve"> tháng </w:t>
      </w:r>
      <w:r w:rsidR="006F2510" w:rsidRPr="00B25F8B">
        <w:rPr>
          <w:bCs/>
          <w:highlight w:val="white"/>
        </w:rPr>
        <w:t>6</w:t>
      </w:r>
      <w:r w:rsidRPr="00B25F8B">
        <w:rPr>
          <w:bCs/>
          <w:highlight w:val="white"/>
        </w:rPr>
        <w:t xml:space="preserve">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m 2024 và có hiệu lực từ ngày </w:t>
      </w:r>
      <w:r w:rsidR="00047CE6" w:rsidRPr="00B25F8B">
        <w:rPr>
          <w:bCs/>
          <w:highlight w:val="white"/>
        </w:rPr>
        <w:t>28</w:t>
      </w:r>
      <w:r w:rsidRPr="00B25F8B">
        <w:rPr>
          <w:bCs/>
          <w:highlight w:val="white"/>
        </w:rPr>
        <w:t xml:space="preserve"> tháng </w:t>
      </w:r>
      <w:r w:rsidR="00047CE6" w:rsidRPr="00B25F8B">
        <w:rPr>
          <w:bCs/>
          <w:highlight w:val="white"/>
        </w:rPr>
        <w:t>6</w:t>
      </w:r>
      <w:r w:rsidRPr="00B25F8B">
        <w:rPr>
          <w:bCs/>
          <w:highlight w:val="white"/>
        </w:rPr>
        <w:t xml:space="preserve">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>m 2024</w:t>
      </w:r>
      <w:r w:rsidR="00315AB8" w:rsidRPr="00B25F8B">
        <w:rPr>
          <w:bCs/>
          <w:highlight w:val="white"/>
        </w:rPr>
        <w:t>.</w:t>
      </w:r>
    </w:p>
    <w:p w:rsidR="004A2DD4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bCs/>
          <w:highlight w:val="white"/>
        </w:rPr>
      </w:pPr>
      <w:r w:rsidRPr="00B25F8B">
        <w:rPr>
          <w:bCs/>
          <w:highlight w:val="white"/>
        </w:rPr>
        <w:t xml:space="preserve">2. Quy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ịnh tại khoản </w:t>
      </w:r>
      <w:r w:rsidR="00734DDD" w:rsidRPr="00B25F8B">
        <w:rPr>
          <w:bCs/>
          <w:highlight w:val="white"/>
        </w:rPr>
        <w:t>2</w:t>
      </w:r>
      <w:r w:rsidRPr="00B25F8B">
        <w:rPr>
          <w:bCs/>
          <w:highlight w:val="white"/>
        </w:rPr>
        <w:t xml:space="preserve">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iều 1 Nghị quyết này </w:t>
      </w:r>
      <w:r w:rsidRPr="00B25F8B">
        <w:rPr>
          <w:rFonts w:hint="eastAsia"/>
          <w:bCs/>
          <w:highlight w:val="white"/>
        </w:rPr>
        <w:t>đư</w:t>
      </w:r>
      <w:r w:rsidRPr="00B25F8B">
        <w:rPr>
          <w:bCs/>
          <w:highlight w:val="white"/>
        </w:rPr>
        <w:t xml:space="preserve">ợc thực hiện kể từ ngày Nghị quyết có hiệu lực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ến ngày 31 tháng 10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m 2026. </w:t>
      </w:r>
    </w:p>
    <w:p w:rsidR="00B6111B" w:rsidRPr="00B25F8B" w:rsidRDefault="004A2DD4" w:rsidP="00280187">
      <w:pPr>
        <w:pStyle w:val="Normal1"/>
        <w:widowControl w:val="0"/>
        <w:spacing w:before="120"/>
        <w:ind w:firstLine="567"/>
        <w:jc w:val="both"/>
        <w:rPr>
          <w:highlight w:val="white"/>
        </w:rPr>
      </w:pPr>
      <w:r w:rsidRPr="00B25F8B">
        <w:rPr>
          <w:bCs/>
          <w:highlight w:val="white"/>
        </w:rPr>
        <w:t>3. Những nội dung khác của Nghị quyết số 27/2019/NQ-H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ND ngày 11 tháng 12 n</w:t>
      </w:r>
      <w:r w:rsidRPr="00B25F8B">
        <w:rPr>
          <w:rFonts w:hint="eastAsia"/>
          <w:bCs/>
          <w:highlight w:val="white"/>
        </w:rPr>
        <w:t>ă</w:t>
      </w:r>
      <w:r w:rsidRPr="00B25F8B">
        <w:rPr>
          <w:bCs/>
          <w:highlight w:val="white"/>
        </w:rPr>
        <w:t xml:space="preserve">m 2019 của </w:t>
      </w:r>
      <w:r w:rsidR="00922BE5" w:rsidRPr="00B25F8B">
        <w:rPr>
          <w:bCs/>
          <w:highlight w:val="white"/>
        </w:rPr>
        <w:t>Hội đồng nhân dân</w:t>
      </w:r>
      <w:r w:rsidRPr="00B25F8B">
        <w:rPr>
          <w:bCs/>
          <w:highlight w:val="white"/>
        </w:rPr>
        <w:t xml:space="preserve"> tỉnh về hỗ trợ tiền </w:t>
      </w:r>
      <w:r w:rsidRPr="00B25F8B">
        <w:rPr>
          <w:rFonts w:hint="eastAsia"/>
          <w:bCs/>
          <w:highlight w:val="white"/>
        </w:rPr>
        <w:t>đó</w:t>
      </w:r>
      <w:r w:rsidRPr="00B25F8B">
        <w:rPr>
          <w:bCs/>
          <w:highlight w:val="white"/>
        </w:rPr>
        <w:t xml:space="preserve">ng bảo hiểm y tế trên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 xml:space="preserve">ịa bàn tỉnh Quảng Ngãi không sửa </w:t>
      </w:r>
      <w:r w:rsidRPr="00B25F8B">
        <w:rPr>
          <w:rFonts w:hint="eastAsia"/>
          <w:bCs/>
          <w:highlight w:val="white"/>
        </w:rPr>
        <w:t>đ</w:t>
      </w:r>
      <w:r w:rsidRPr="00B25F8B">
        <w:rPr>
          <w:bCs/>
          <w:highlight w:val="white"/>
        </w:rPr>
        <w:t>ổi, bổ sung tại Nghị quyết này vẫn giữ nguyên hiệu lực thi hành./.</w:t>
      </w:r>
    </w:p>
    <w:p w:rsidR="00B6111B" w:rsidRPr="00B25F8B" w:rsidRDefault="00B6111B" w:rsidP="009910C0">
      <w:pPr>
        <w:pStyle w:val="Normal1"/>
        <w:widowControl w:val="0"/>
        <w:ind w:firstLine="709"/>
        <w:jc w:val="both"/>
        <w:rPr>
          <w:highlight w:val="white"/>
        </w:rPr>
      </w:pPr>
    </w:p>
    <w:tbl>
      <w:tblPr>
        <w:tblW w:w="9310" w:type="dxa"/>
        <w:jc w:val="center"/>
        <w:tblLook w:val="00A0" w:firstRow="1" w:lastRow="0" w:firstColumn="1" w:lastColumn="0" w:noHBand="0" w:noVBand="0"/>
      </w:tblPr>
      <w:tblGrid>
        <w:gridCol w:w="5301"/>
        <w:gridCol w:w="540"/>
        <w:gridCol w:w="3469"/>
      </w:tblGrid>
      <w:tr w:rsidR="006A6259" w:rsidRPr="00B25F8B" w:rsidTr="001A5F7D">
        <w:trPr>
          <w:trHeight w:val="210"/>
          <w:jc w:val="center"/>
        </w:trPr>
        <w:tc>
          <w:tcPr>
            <w:tcW w:w="53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D6D3E" w:rsidRDefault="006A6259" w:rsidP="005A557A">
            <w:pPr>
              <w:snapToGrid w:val="0"/>
              <w:ind w:left="10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lang w:val="nl-NL"/>
              </w:rPr>
            </w:pPr>
            <w:bookmarkStart w:id="5" w:name="0.1_table02"/>
            <w:bookmarkEnd w:id="5"/>
            <w:r w:rsidRPr="00BD6D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lang w:val="nl-NL"/>
              </w:rPr>
              <w:t>Nơi nhận</w:t>
            </w:r>
            <w:r w:rsidRPr="00BD6D3E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lang w:val="nl-NL"/>
              </w:rPr>
              <w:t>:</w:t>
            </w:r>
          </w:p>
          <w:p w:rsidR="006A6259" w:rsidRPr="00BD6D3E" w:rsidRDefault="006A6259" w:rsidP="005A557A">
            <w:pPr>
              <w:snapToGrid w:val="0"/>
              <w:ind w:left="104"/>
              <w:rPr>
                <w:rFonts w:ascii="Times New Roman" w:hAnsi="Times New Roman"/>
                <w:sz w:val="24"/>
                <w:szCs w:val="24"/>
                <w:highlight w:val="white"/>
                <w:lang w:val="nl-NL"/>
              </w:rPr>
            </w:pP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- </w:t>
            </w:r>
            <w:r w:rsidR="001A5F7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Ủy ban Thường</w:t>
            </w:r>
            <w:r w:rsidR="001A5F7D" w:rsidRPr="00B25F8B">
              <w:rPr>
                <w:rFonts w:ascii="Arial" w:hAnsi="Arial" w:cs="Arial"/>
                <w:szCs w:val="28"/>
                <w:highlight w:val="white"/>
                <w:shd w:val="clear" w:color="auto" w:fill="FFFFFF"/>
              </w:rPr>
              <w:t xml:space="preserve"> </w:t>
            </w:r>
            <w:r w:rsidR="001A5F7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vụ </w:t>
            </w: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Quốc hội, Chính phủ;</w:t>
            </w:r>
          </w:p>
          <w:p w:rsidR="005167FF" w:rsidRPr="00BD6D3E" w:rsidRDefault="006A6259" w:rsidP="005A557A">
            <w:pPr>
              <w:tabs>
                <w:tab w:val="left" w:pos="4545"/>
              </w:tabs>
              <w:snapToGrid w:val="0"/>
              <w:ind w:left="104"/>
              <w:jc w:val="both"/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</w:pP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- Các </w:t>
            </w:r>
            <w:r w:rsidR="004C6B51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B</w:t>
            </w: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ộ: </w:t>
            </w:r>
            <w:r w:rsidR="005603F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Lao động</w:t>
            </w:r>
            <w:r w:rsidR="001A5F7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 </w:t>
            </w:r>
            <w:r w:rsidR="00982508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-</w:t>
            </w:r>
            <w:r w:rsidR="001A5F7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 </w:t>
            </w:r>
            <w:r w:rsidR="005603FD" w:rsidRPr="00B25F8B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Thương binh và Xã hội</w:t>
            </w:r>
            <w:r w:rsidR="005603FD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,</w:t>
            </w:r>
            <w:r w:rsidR="001A5F7D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 </w:t>
            </w: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Tài chính;</w:t>
            </w:r>
          </w:p>
          <w:p w:rsidR="005167FF" w:rsidRPr="00B25F8B" w:rsidRDefault="005167FF" w:rsidP="005A557A">
            <w:pPr>
              <w:ind w:left="104"/>
              <w:rPr>
                <w:rFonts w:ascii="Times New Roman" w:hAnsi="Times New Roman"/>
                <w:sz w:val="22"/>
                <w:szCs w:val="22"/>
                <w:highlight w:val="white"/>
                <w:lang w:val="vi-VN"/>
              </w:rPr>
            </w:pP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- 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vi-VN"/>
              </w:rPr>
              <w:t>Vụ Pháp chế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nb-NO"/>
              </w:rPr>
              <w:t xml:space="preserve"> - 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vi-VN"/>
              </w:rPr>
              <w:t>Bộ</w:t>
            </w:r>
            <w:r w:rsidR="00C80DF5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 Lao động </w:t>
            </w:r>
            <w:r w:rsidR="002D5E86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>-</w:t>
            </w:r>
            <w:r w:rsidR="00C80DF5" w:rsidRPr="00BD6D3E">
              <w:rPr>
                <w:rFonts w:ascii="Times New Roman" w:hAnsi="Times New Roman"/>
                <w:sz w:val="22"/>
                <w:szCs w:val="22"/>
                <w:highlight w:val="white"/>
                <w:lang w:val="nl-NL"/>
              </w:rPr>
              <w:t xml:space="preserve"> Thương binh và Xã hội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vi-VN"/>
              </w:rPr>
              <w:t>;</w:t>
            </w:r>
          </w:p>
          <w:p w:rsidR="006A6259" w:rsidRPr="00B25F8B" w:rsidRDefault="005167FF" w:rsidP="005A557A">
            <w:pPr>
              <w:shd w:val="clear" w:color="auto" w:fill="FFFFFF"/>
              <w:ind w:left="104"/>
              <w:jc w:val="both"/>
              <w:rPr>
                <w:rFonts w:ascii="Times New Roman" w:hAnsi="Times New Roman"/>
                <w:sz w:val="22"/>
                <w:highlight w:val="white"/>
                <w:shd w:val="clear" w:color="auto" w:fill="FFFFFF"/>
                <w:lang w:val="vi-VN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shd w:val="clear" w:color="auto" w:fill="FFFFFF"/>
                <w:lang w:val="vi-VN"/>
              </w:rPr>
              <w:t>- Cục Kiểm tra văn bản QPPL - Bộ Tư pháp;</w:t>
            </w:r>
            <w:r w:rsidR="006A6259" w:rsidRPr="00BD6D3E">
              <w:rPr>
                <w:rFonts w:ascii="Times New Roman" w:hAnsi="Times New Roman"/>
                <w:sz w:val="22"/>
                <w:szCs w:val="22"/>
                <w:highlight w:val="white"/>
                <w:lang w:val="vi-VN"/>
              </w:rPr>
              <w:tab/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TTTU, TTHĐND, UBND, UBMTTQ</w:t>
            </w:r>
            <w:r w:rsidR="00B34A81">
              <w:rPr>
                <w:rFonts w:ascii="Times New Roman" w:hAnsi="Times New Roman"/>
                <w:sz w:val="22"/>
                <w:highlight w:val="white"/>
                <w:lang w:val="zu-ZA"/>
              </w:rPr>
              <w:t xml:space="preserve"> Việt Nam</w:t>
            </w: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 xml:space="preserve"> tỉnh; 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Các cơ quan chuyên trách tham mưu, giúp việc Tỉnh ủy;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 xml:space="preserve">- 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 xml:space="preserve">Đoàn </w:t>
            </w:r>
            <w:r w:rsidR="001F3366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>ĐBQH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 xml:space="preserve"> tỉnh;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 xml:space="preserve">- Các </w:t>
            </w:r>
            <w:r w:rsidRPr="00B25F8B">
              <w:rPr>
                <w:rFonts w:ascii="Times New Roman" w:hAnsi="Times New Roman"/>
                <w:sz w:val="22"/>
                <w:szCs w:val="22"/>
                <w:highlight w:val="white"/>
              </w:rPr>
              <w:t>Ban của HĐND tỉnh;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>- Đại biểu HĐND tỉnh</w:t>
            </w: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Các sở, ban, ngành, hội đoàn thể tỉnh;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Cơ quan Trung ương đóng trên địa bàn tỉnh;</w:t>
            </w:r>
            <w:r w:rsidRPr="00BD6D3E">
              <w:rPr>
                <w:rFonts w:ascii="Times New Roman" w:hAnsi="Times New Roman"/>
                <w:sz w:val="22"/>
                <w:szCs w:val="22"/>
                <w:highlight w:val="white"/>
                <w:lang w:val="zu-ZA"/>
              </w:rPr>
              <w:t xml:space="preserve"> 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Văn phòng UBND tỉnh;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sv-SE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sv-SE"/>
              </w:rPr>
              <w:t>- TT HĐND, UBND các huyện, thị xã, thành phố;</w:t>
            </w:r>
          </w:p>
          <w:p w:rsidR="005426DB" w:rsidRPr="00B25F8B" w:rsidRDefault="005426DB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 xml:space="preserve">- </w:t>
            </w:r>
            <w:r w:rsidR="001A5F7D"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Báo Quảng Ngãi, Đài PTTH tỉnh</w:t>
            </w: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;</w:t>
            </w:r>
          </w:p>
          <w:p w:rsidR="005426DB" w:rsidRPr="00B25F8B" w:rsidRDefault="005426DB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zu-ZA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Trung tâm Công báo và Tin học tỉnh;</w:t>
            </w:r>
          </w:p>
          <w:p w:rsidR="00E15329" w:rsidRPr="00B25F8B" w:rsidRDefault="00E15329" w:rsidP="005A557A">
            <w:pPr>
              <w:ind w:left="104"/>
              <w:rPr>
                <w:rFonts w:ascii="Times New Roman" w:hAnsi="Times New Roman"/>
                <w:sz w:val="22"/>
                <w:highlight w:val="white"/>
                <w:lang w:val="sv-SE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sv-SE"/>
              </w:rPr>
              <w:t xml:space="preserve">- VP </w:t>
            </w:r>
            <w:r w:rsidR="001A5F7D"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Đ</w:t>
            </w: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 xml:space="preserve">ĐBQH và </w:t>
            </w:r>
            <w:r w:rsidRPr="00B25F8B">
              <w:rPr>
                <w:rFonts w:ascii="Times New Roman" w:hAnsi="Times New Roman"/>
                <w:sz w:val="22"/>
                <w:highlight w:val="white"/>
                <w:lang w:val="sv-SE"/>
              </w:rPr>
              <w:t>HĐND tỉnh: C-P</w:t>
            </w:r>
            <w:r w:rsidR="001A5F7D" w:rsidRPr="00B25F8B">
              <w:rPr>
                <w:rFonts w:ascii="Times New Roman" w:hAnsi="Times New Roman"/>
                <w:sz w:val="22"/>
                <w:highlight w:val="white"/>
                <w:lang w:val="sv-SE"/>
              </w:rPr>
              <w:t>C</w:t>
            </w:r>
            <w:r w:rsidRPr="00B25F8B">
              <w:rPr>
                <w:rFonts w:ascii="Times New Roman" w:hAnsi="Times New Roman"/>
                <w:sz w:val="22"/>
                <w:highlight w:val="white"/>
                <w:lang w:val="sv-SE"/>
              </w:rPr>
              <w:t>VP, các Phòng, CV;</w:t>
            </w:r>
          </w:p>
          <w:p w:rsidR="00E15329" w:rsidRPr="00B25F8B" w:rsidRDefault="005426DB" w:rsidP="005A557A">
            <w:pPr>
              <w:ind w:left="104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sz w:val="22"/>
                <w:highlight w:val="white"/>
                <w:lang w:val="zu-ZA"/>
              </w:rPr>
              <w:t>- Lưu: VT, VHXH.</w:t>
            </w:r>
          </w:p>
          <w:p w:rsidR="006A6259" w:rsidRPr="00B25F8B" w:rsidRDefault="006A6259" w:rsidP="00C0757C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spacing w:line="210" w:lineRule="atLeast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34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spacing w:before="100" w:beforeAutospacing="1" w:after="100" w:afterAutospacing="1" w:line="210" w:lineRule="atLeast"/>
              <w:jc w:val="center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bCs/>
                <w:szCs w:val="28"/>
                <w:highlight w:val="white"/>
                <w:lang w:val="en-US"/>
              </w:rPr>
              <w:t>CHỦ TỊCH</w:t>
            </w:r>
          </w:p>
        </w:tc>
      </w:tr>
      <w:tr w:rsidR="006A6259" w:rsidRPr="00B25F8B" w:rsidTr="001A5F7D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:rsidR="006A6259" w:rsidRPr="00B25F8B" w:rsidRDefault="006A6259" w:rsidP="00C0757C">
            <w:pPr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spacing w:line="225" w:lineRule="atLeast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34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  <w:t> </w:t>
            </w:r>
          </w:p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  <w:t>  </w:t>
            </w:r>
          </w:p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  <w:t> </w:t>
            </w:r>
          </w:p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  <w:t> </w:t>
            </w:r>
          </w:p>
          <w:p w:rsidR="006820B3" w:rsidRPr="00B25F8B" w:rsidRDefault="006820B3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</w:p>
          <w:p w:rsidR="006A6259" w:rsidRPr="00B25F8B" w:rsidRDefault="006A6259" w:rsidP="00C0757C">
            <w:pPr>
              <w:snapToGrid w:val="0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  <w:t> </w:t>
            </w:r>
          </w:p>
          <w:p w:rsidR="006A6259" w:rsidRPr="00B25F8B" w:rsidRDefault="006A6259" w:rsidP="00C0757C">
            <w:pPr>
              <w:snapToGrid w:val="0"/>
              <w:spacing w:line="225" w:lineRule="atLeast"/>
              <w:jc w:val="center"/>
              <w:rPr>
                <w:rFonts w:ascii="Times New Roman" w:hAnsi="Times New Roman"/>
                <w:b/>
                <w:szCs w:val="28"/>
                <w:highlight w:val="white"/>
                <w:lang w:val="en-US"/>
              </w:rPr>
            </w:pPr>
            <w:r w:rsidRPr="00B25F8B">
              <w:rPr>
                <w:rFonts w:ascii="Times New Roman" w:hAnsi="Times New Roman"/>
                <w:b/>
                <w:bCs/>
                <w:szCs w:val="28"/>
                <w:highlight w:val="white"/>
                <w:lang w:val="en-US"/>
              </w:rPr>
              <w:t>Bùi Thị Quỳnh Vân</w:t>
            </w:r>
          </w:p>
        </w:tc>
      </w:tr>
    </w:tbl>
    <w:p w:rsidR="006A6259" w:rsidRPr="00B25F8B" w:rsidRDefault="006A6259" w:rsidP="00E15329">
      <w:pPr>
        <w:ind w:left="34"/>
        <w:rPr>
          <w:highlight w:val="white"/>
        </w:rPr>
      </w:pPr>
    </w:p>
    <w:sectPr w:rsidR="006A6259" w:rsidRPr="00B25F8B" w:rsidSect="00692D83">
      <w:headerReference w:type="default" r:id="rId7"/>
      <w:pgSz w:w="11907" w:h="16840" w:code="9"/>
      <w:pgMar w:top="1134" w:right="1134" w:bottom="1077" w:left="1701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07" w:rsidRDefault="00F54807" w:rsidP="001D4CEF">
      <w:r>
        <w:separator/>
      </w:r>
    </w:p>
  </w:endnote>
  <w:endnote w:type="continuationSeparator" w:id="0">
    <w:p w:rsidR="00F54807" w:rsidRDefault="00F54807" w:rsidP="001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07" w:rsidRDefault="00F54807" w:rsidP="001D4CEF">
      <w:r>
        <w:separator/>
      </w:r>
    </w:p>
  </w:footnote>
  <w:footnote w:type="continuationSeparator" w:id="0">
    <w:p w:rsidR="00F54807" w:rsidRDefault="00F54807" w:rsidP="001D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59" w:rsidRPr="001D4CEF" w:rsidRDefault="006A6259">
    <w:pPr>
      <w:pStyle w:val="Header"/>
      <w:jc w:val="center"/>
      <w:rPr>
        <w:rFonts w:ascii="Times New Roman" w:hAnsi="Times New Roman"/>
      </w:rPr>
    </w:pPr>
    <w:r w:rsidRPr="001D4CEF">
      <w:rPr>
        <w:rFonts w:ascii="Times New Roman" w:hAnsi="Times New Roman"/>
      </w:rPr>
      <w:fldChar w:fldCharType="begin"/>
    </w:r>
    <w:r w:rsidRPr="001D4CEF">
      <w:rPr>
        <w:rFonts w:ascii="Times New Roman" w:hAnsi="Times New Roman"/>
      </w:rPr>
      <w:instrText xml:space="preserve"> PAGE   \* MERGEFORMAT </w:instrText>
    </w:r>
    <w:r w:rsidRPr="001D4CEF">
      <w:rPr>
        <w:rFonts w:ascii="Times New Roman" w:hAnsi="Times New Roman"/>
      </w:rPr>
      <w:fldChar w:fldCharType="separate"/>
    </w:r>
    <w:r w:rsidR="00BD6D3E">
      <w:rPr>
        <w:rFonts w:ascii="Times New Roman" w:hAnsi="Times New Roman"/>
        <w:noProof/>
      </w:rPr>
      <w:t>3</w:t>
    </w:r>
    <w:r w:rsidRPr="001D4CEF">
      <w:rPr>
        <w:rFonts w:ascii="Times New Roman" w:hAnsi="Times New Roman"/>
      </w:rPr>
      <w:fldChar w:fldCharType="end"/>
    </w:r>
  </w:p>
  <w:p w:rsidR="006A6259" w:rsidRDefault="006A6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AD"/>
    <w:rsid w:val="00000E29"/>
    <w:rsid w:val="00001CFD"/>
    <w:rsid w:val="0001524A"/>
    <w:rsid w:val="00027740"/>
    <w:rsid w:val="00036181"/>
    <w:rsid w:val="00036C9A"/>
    <w:rsid w:val="0004001D"/>
    <w:rsid w:val="00041BC3"/>
    <w:rsid w:val="00043C28"/>
    <w:rsid w:val="00044679"/>
    <w:rsid w:val="000476A7"/>
    <w:rsid w:val="00047CE6"/>
    <w:rsid w:val="00051685"/>
    <w:rsid w:val="000537BB"/>
    <w:rsid w:val="00054BFB"/>
    <w:rsid w:val="00056ED0"/>
    <w:rsid w:val="00062C2F"/>
    <w:rsid w:val="000649FD"/>
    <w:rsid w:val="000708FB"/>
    <w:rsid w:val="0007362C"/>
    <w:rsid w:val="00081D17"/>
    <w:rsid w:val="000830C1"/>
    <w:rsid w:val="000843D6"/>
    <w:rsid w:val="000A1ADB"/>
    <w:rsid w:val="000B1E7A"/>
    <w:rsid w:val="000B4017"/>
    <w:rsid w:val="000B6E02"/>
    <w:rsid w:val="000C3697"/>
    <w:rsid w:val="000C5067"/>
    <w:rsid w:val="000D5459"/>
    <w:rsid w:val="000E54AB"/>
    <w:rsid w:val="000F4F0B"/>
    <w:rsid w:val="001000FD"/>
    <w:rsid w:val="001017EC"/>
    <w:rsid w:val="00101D24"/>
    <w:rsid w:val="00102AA6"/>
    <w:rsid w:val="00103259"/>
    <w:rsid w:val="00110D53"/>
    <w:rsid w:val="00111570"/>
    <w:rsid w:val="00112BB9"/>
    <w:rsid w:val="0011458B"/>
    <w:rsid w:val="00120013"/>
    <w:rsid w:val="00120CF0"/>
    <w:rsid w:val="00121D62"/>
    <w:rsid w:val="00135D1A"/>
    <w:rsid w:val="0014203E"/>
    <w:rsid w:val="001425EE"/>
    <w:rsid w:val="00142BF8"/>
    <w:rsid w:val="0014585C"/>
    <w:rsid w:val="0016013D"/>
    <w:rsid w:val="00160E8A"/>
    <w:rsid w:val="0016489A"/>
    <w:rsid w:val="001729DE"/>
    <w:rsid w:val="00174BB5"/>
    <w:rsid w:val="001761BD"/>
    <w:rsid w:val="00192E45"/>
    <w:rsid w:val="00192FC1"/>
    <w:rsid w:val="0019600F"/>
    <w:rsid w:val="001968A8"/>
    <w:rsid w:val="001A072E"/>
    <w:rsid w:val="001A5F7D"/>
    <w:rsid w:val="001B4716"/>
    <w:rsid w:val="001B7F2D"/>
    <w:rsid w:val="001D0D8F"/>
    <w:rsid w:val="001D3D0A"/>
    <w:rsid w:val="001D4CEF"/>
    <w:rsid w:val="001E1E49"/>
    <w:rsid w:val="001E5EF3"/>
    <w:rsid w:val="001F3366"/>
    <w:rsid w:val="00200DB2"/>
    <w:rsid w:val="00203CE7"/>
    <w:rsid w:val="00205F87"/>
    <w:rsid w:val="00207029"/>
    <w:rsid w:val="00216A9C"/>
    <w:rsid w:val="0022645D"/>
    <w:rsid w:val="00230C62"/>
    <w:rsid w:val="00235E63"/>
    <w:rsid w:val="002365F0"/>
    <w:rsid w:val="0023690F"/>
    <w:rsid w:val="00236AFD"/>
    <w:rsid w:val="00237959"/>
    <w:rsid w:val="00241C3A"/>
    <w:rsid w:val="00243414"/>
    <w:rsid w:val="00243779"/>
    <w:rsid w:val="002459E9"/>
    <w:rsid w:val="00250092"/>
    <w:rsid w:val="00252EB0"/>
    <w:rsid w:val="00266FDC"/>
    <w:rsid w:val="0027385E"/>
    <w:rsid w:val="00275205"/>
    <w:rsid w:val="00280187"/>
    <w:rsid w:val="0028171D"/>
    <w:rsid w:val="0028370A"/>
    <w:rsid w:val="00293987"/>
    <w:rsid w:val="00295624"/>
    <w:rsid w:val="002B453B"/>
    <w:rsid w:val="002B5CF4"/>
    <w:rsid w:val="002C4A94"/>
    <w:rsid w:val="002D2C3B"/>
    <w:rsid w:val="002D4141"/>
    <w:rsid w:val="002D5E86"/>
    <w:rsid w:val="002E1D91"/>
    <w:rsid w:val="002E61AA"/>
    <w:rsid w:val="00300FC7"/>
    <w:rsid w:val="0030124D"/>
    <w:rsid w:val="0030193C"/>
    <w:rsid w:val="00315AB8"/>
    <w:rsid w:val="00316873"/>
    <w:rsid w:val="00320A9F"/>
    <w:rsid w:val="003258DE"/>
    <w:rsid w:val="00325CA1"/>
    <w:rsid w:val="00332DCB"/>
    <w:rsid w:val="00342B4F"/>
    <w:rsid w:val="00343BEE"/>
    <w:rsid w:val="00347758"/>
    <w:rsid w:val="00351B2E"/>
    <w:rsid w:val="00351E39"/>
    <w:rsid w:val="003650B4"/>
    <w:rsid w:val="003870AA"/>
    <w:rsid w:val="00396875"/>
    <w:rsid w:val="003A31F0"/>
    <w:rsid w:val="003A4571"/>
    <w:rsid w:val="003B42B9"/>
    <w:rsid w:val="003B4984"/>
    <w:rsid w:val="003C7884"/>
    <w:rsid w:val="003D72A3"/>
    <w:rsid w:val="003E19E4"/>
    <w:rsid w:val="003E3DF8"/>
    <w:rsid w:val="003F0BA2"/>
    <w:rsid w:val="003F6205"/>
    <w:rsid w:val="003F6C51"/>
    <w:rsid w:val="004043AD"/>
    <w:rsid w:val="00411303"/>
    <w:rsid w:val="004227F2"/>
    <w:rsid w:val="00432E63"/>
    <w:rsid w:val="00437ABA"/>
    <w:rsid w:val="00442076"/>
    <w:rsid w:val="00465491"/>
    <w:rsid w:val="00470461"/>
    <w:rsid w:val="00472CED"/>
    <w:rsid w:val="00491951"/>
    <w:rsid w:val="004A2DD4"/>
    <w:rsid w:val="004C1F6C"/>
    <w:rsid w:val="004C3B42"/>
    <w:rsid w:val="004C527D"/>
    <w:rsid w:val="004C6B51"/>
    <w:rsid w:val="004C6EF2"/>
    <w:rsid w:val="004D12CD"/>
    <w:rsid w:val="004D66AC"/>
    <w:rsid w:val="004E1E29"/>
    <w:rsid w:val="004E40EA"/>
    <w:rsid w:val="004E7DE8"/>
    <w:rsid w:val="0050559E"/>
    <w:rsid w:val="00505BAC"/>
    <w:rsid w:val="00507126"/>
    <w:rsid w:val="00507E89"/>
    <w:rsid w:val="00514F25"/>
    <w:rsid w:val="00515759"/>
    <w:rsid w:val="005167FF"/>
    <w:rsid w:val="005177B8"/>
    <w:rsid w:val="00517F2B"/>
    <w:rsid w:val="00524607"/>
    <w:rsid w:val="0052496B"/>
    <w:rsid w:val="0052578A"/>
    <w:rsid w:val="0052597C"/>
    <w:rsid w:val="005426DB"/>
    <w:rsid w:val="00542C75"/>
    <w:rsid w:val="005603FD"/>
    <w:rsid w:val="00561C4D"/>
    <w:rsid w:val="0056382D"/>
    <w:rsid w:val="00565138"/>
    <w:rsid w:val="0057716E"/>
    <w:rsid w:val="00581040"/>
    <w:rsid w:val="00592976"/>
    <w:rsid w:val="00594946"/>
    <w:rsid w:val="00595CBE"/>
    <w:rsid w:val="005A557A"/>
    <w:rsid w:val="005B4006"/>
    <w:rsid w:val="005D59E6"/>
    <w:rsid w:val="005E439A"/>
    <w:rsid w:val="005E4CE0"/>
    <w:rsid w:val="00602357"/>
    <w:rsid w:val="00603999"/>
    <w:rsid w:val="00604A62"/>
    <w:rsid w:val="0060602A"/>
    <w:rsid w:val="00615EA8"/>
    <w:rsid w:val="00622242"/>
    <w:rsid w:val="00624238"/>
    <w:rsid w:val="00640FBB"/>
    <w:rsid w:val="00651CE6"/>
    <w:rsid w:val="006523BD"/>
    <w:rsid w:val="0065385A"/>
    <w:rsid w:val="006538BB"/>
    <w:rsid w:val="0066181A"/>
    <w:rsid w:val="00664FE8"/>
    <w:rsid w:val="006820B3"/>
    <w:rsid w:val="00684C37"/>
    <w:rsid w:val="00692D83"/>
    <w:rsid w:val="00693C99"/>
    <w:rsid w:val="00694F12"/>
    <w:rsid w:val="006A6259"/>
    <w:rsid w:val="006B05C3"/>
    <w:rsid w:val="006B07DD"/>
    <w:rsid w:val="006B217F"/>
    <w:rsid w:val="006B5A1F"/>
    <w:rsid w:val="006D2B48"/>
    <w:rsid w:val="006D2FA8"/>
    <w:rsid w:val="006D40C6"/>
    <w:rsid w:val="006E689D"/>
    <w:rsid w:val="006F2510"/>
    <w:rsid w:val="00703B63"/>
    <w:rsid w:val="0070508A"/>
    <w:rsid w:val="007123C9"/>
    <w:rsid w:val="00734DDD"/>
    <w:rsid w:val="007365D4"/>
    <w:rsid w:val="007453B9"/>
    <w:rsid w:val="007464D9"/>
    <w:rsid w:val="00750C32"/>
    <w:rsid w:val="007516EF"/>
    <w:rsid w:val="007542C0"/>
    <w:rsid w:val="007601AC"/>
    <w:rsid w:val="007632AE"/>
    <w:rsid w:val="00770F18"/>
    <w:rsid w:val="00781F8A"/>
    <w:rsid w:val="00785980"/>
    <w:rsid w:val="00792702"/>
    <w:rsid w:val="0079479A"/>
    <w:rsid w:val="007A5677"/>
    <w:rsid w:val="007A6805"/>
    <w:rsid w:val="007E71D0"/>
    <w:rsid w:val="007F7256"/>
    <w:rsid w:val="00835846"/>
    <w:rsid w:val="008359D9"/>
    <w:rsid w:val="00835CAF"/>
    <w:rsid w:val="00837BDC"/>
    <w:rsid w:val="008409AA"/>
    <w:rsid w:val="008437D4"/>
    <w:rsid w:val="0084502D"/>
    <w:rsid w:val="00856188"/>
    <w:rsid w:val="00866BAA"/>
    <w:rsid w:val="0087189B"/>
    <w:rsid w:val="00872C79"/>
    <w:rsid w:val="00877B41"/>
    <w:rsid w:val="00883ABF"/>
    <w:rsid w:val="0089115F"/>
    <w:rsid w:val="00892033"/>
    <w:rsid w:val="008A7A79"/>
    <w:rsid w:val="008D24E6"/>
    <w:rsid w:val="008E2900"/>
    <w:rsid w:val="008E65AF"/>
    <w:rsid w:val="009006E9"/>
    <w:rsid w:val="009074CF"/>
    <w:rsid w:val="00912963"/>
    <w:rsid w:val="0091602C"/>
    <w:rsid w:val="00922BE5"/>
    <w:rsid w:val="00927760"/>
    <w:rsid w:val="0094117E"/>
    <w:rsid w:val="009436F9"/>
    <w:rsid w:val="00972E0C"/>
    <w:rsid w:val="009732AB"/>
    <w:rsid w:val="00982508"/>
    <w:rsid w:val="00984D5F"/>
    <w:rsid w:val="009910C0"/>
    <w:rsid w:val="00995BD1"/>
    <w:rsid w:val="009A545D"/>
    <w:rsid w:val="009B54F0"/>
    <w:rsid w:val="009C5E17"/>
    <w:rsid w:val="009E34CF"/>
    <w:rsid w:val="009E74D8"/>
    <w:rsid w:val="009F2F02"/>
    <w:rsid w:val="009F30E2"/>
    <w:rsid w:val="009F3995"/>
    <w:rsid w:val="00A0106C"/>
    <w:rsid w:val="00A13544"/>
    <w:rsid w:val="00A161E4"/>
    <w:rsid w:val="00A16656"/>
    <w:rsid w:val="00A20E0C"/>
    <w:rsid w:val="00A2210B"/>
    <w:rsid w:val="00A226B4"/>
    <w:rsid w:val="00A22E70"/>
    <w:rsid w:val="00A271F6"/>
    <w:rsid w:val="00A305AB"/>
    <w:rsid w:val="00A3240E"/>
    <w:rsid w:val="00A37188"/>
    <w:rsid w:val="00A375ED"/>
    <w:rsid w:val="00A4098F"/>
    <w:rsid w:val="00A50760"/>
    <w:rsid w:val="00A547E4"/>
    <w:rsid w:val="00A66CDD"/>
    <w:rsid w:val="00A82DAF"/>
    <w:rsid w:val="00AA756B"/>
    <w:rsid w:val="00AC175E"/>
    <w:rsid w:val="00AD0C0A"/>
    <w:rsid w:val="00AD3D5D"/>
    <w:rsid w:val="00AE007D"/>
    <w:rsid w:val="00AE344A"/>
    <w:rsid w:val="00AE399F"/>
    <w:rsid w:val="00AF7C7C"/>
    <w:rsid w:val="00AF7CD1"/>
    <w:rsid w:val="00B03405"/>
    <w:rsid w:val="00B156E5"/>
    <w:rsid w:val="00B17E1E"/>
    <w:rsid w:val="00B25F8B"/>
    <w:rsid w:val="00B31E97"/>
    <w:rsid w:val="00B333B0"/>
    <w:rsid w:val="00B34A81"/>
    <w:rsid w:val="00B5201D"/>
    <w:rsid w:val="00B53CD6"/>
    <w:rsid w:val="00B6111B"/>
    <w:rsid w:val="00B67259"/>
    <w:rsid w:val="00B80819"/>
    <w:rsid w:val="00B821DD"/>
    <w:rsid w:val="00B82FC2"/>
    <w:rsid w:val="00B84FBF"/>
    <w:rsid w:val="00B856FC"/>
    <w:rsid w:val="00B909EE"/>
    <w:rsid w:val="00BA12FD"/>
    <w:rsid w:val="00BA362D"/>
    <w:rsid w:val="00BB0963"/>
    <w:rsid w:val="00BC08B0"/>
    <w:rsid w:val="00BC3764"/>
    <w:rsid w:val="00BC55FE"/>
    <w:rsid w:val="00BD0949"/>
    <w:rsid w:val="00BD1C1E"/>
    <w:rsid w:val="00BD6D3E"/>
    <w:rsid w:val="00BE636C"/>
    <w:rsid w:val="00BE7BFC"/>
    <w:rsid w:val="00BF5BA4"/>
    <w:rsid w:val="00C00975"/>
    <w:rsid w:val="00C0135F"/>
    <w:rsid w:val="00C05CED"/>
    <w:rsid w:val="00C0757C"/>
    <w:rsid w:val="00C07EA4"/>
    <w:rsid w:val="00C21332"/>
    <w:rsid w:val="00C249A0"/>
    <w:rsid w:val="00C27EBA"/>
    <w:rsid w:val="00C3391E"/>
    <w:rsid w:val="00C508DA"/>
    <w:rsid w:val="00C50FC1"/>
    <w:rsid w:val="00C60864"/>
    <w:rsid w:val="00C62B66"/>
    <w:rsid w:val="00C65CB1"/>
    <w:rsid w:val="00C80DF5"/>
    <w:rsid w:val="00C90A04"/>
    <w:rsid w:val="00CA374A"/>
    <w:rsid w:val="00CA4FE2"/>
    <w:rsid w:val="00CB3726"/>
    <w:rsid w:val="00CB59ED"/>
    <w:rsid w:val="00CB75D2"/>
    <w:rsid w:val="00CC0069"/>
    <w:rsid w:val="00CC20E1"/>
    <w:rsid w:val="00CC4628"/>
    <w:rsid w:val="00CE5A79"/>
    <w:rsid w:val="00CF541A"/>
    <w:rsid w:val="00D01683"/>
    <w:rsid w:val="00D04468"/>
    <w:rsid w:val="00D1332F"/>
    <w:rsid w:val="00D16291"/>
    <w:rsid w:val="00D17071"/>
    <w:rsid w:val="00D17A4A"/>
    <w:rsid w:val="00D26E6A"/>
    <w:rsid w:val="00D31543"/>
    <w:rsid w:val="00D40EA7"/>
    <w:rsid w:val="00D41644"/>
    <w:rsid w:val="00D42B81"/>
    <w:rsid w:val="00D45CC4"/>
    <w:rsid w:val="00D507CB"/>
    <w:rsid w:val="00D54802"/>
    <w:rsid w:val="00D60321"/>
    <w:rsid w:val="00D6277C"/>
    <w:rsid w:val="00D627B0"/>
    <w:rsid w:val="00D627DE"/>
    <w:rsid w:val="00D73588"/>
    <w:rsid w:val="00D84047"/>
    <w:rsid w:val="00DA1D3F"/>
    <w:rsid w:val="00DA26D9"/>
    <w:rsid w:val="00DC5358"/>
    <w:rsid w:val="00DE304A"/>
    <w:rsid w:val="00DE41BA"/>
    <w:rsid w:val="00DE7630"/>
    <w:rsid w:val="00DF3ACD"/>
    <w:rsid w:val="00E13688"/>
    <w:rsid w:val="00E15329"/>
    <w:rsid w:val="00E17990"/>
    <w:rsid w:val="00E221CD"/>
    <w:rsid w:val="00E246D5"/>
    <w:rsid w:val="00E259E0"/>
    <w:rsid w:val="00E3036D"/>
    <w:rsid w:val="00E34C08"/>
    <w:rsid w:val="00E425C4"/>
    <w:rsid w:val="00E42689"/>
    <w:rsid w:val="00E47BD0"/>
    <w:rsid w:val="00E54F87"/>
    <w:rsid w:val="00E56DDC"/>
    <w:rsid w:val="00E61FB9"/>
    <w:rsid w:val="00E63B52"/>
    <w:rsid w:val="00E66199"/>
    <w:rsid w:val="00E713ED"/>
    <w:rsid w:val="00E77891"/>
    <w:rsid w:val="00E92981"/>
    <w:rsid w:val="00E9763A"/>
    <w:rsid w:val="00EA0C81"/>
    <w:rsid w:val="00EA5644"/>
    <w:rsid w:val="00EA6F2C"/>
    <w:rsid w:val="00EA719D"/>
    <w:rsid w:val="00EB49F7"/>
    <w:rsid w:val="00EB51EF"/>
    <w:rsid w:val="00EB7153"/>
    <w:rsid w:val="00EB7850"/>
    <w:rsid w:val="00EC2552"/>
    <w:rsid w:val="00ED74C9"/>
    <w:rsid w:val="00EE4A76"/>
    <w:rsid w:val="00EE5034"/>
    <w:rsid w:val="00EE7CEC"/>
    <w:rsid w:val="00EF2956"/>
    <w:rsid w:val="00EF56E5"/>
    <w:rsid w:val="00EF61CD"/>
    <w:rsid w:val="00F03CCE"/>
    <w:rsid w:val="00F04F09"/>
    <w:rsid w:val="00F05757"/>
    <w:rsid w:val="00F141B4"/>
    <w:rsid w:val="00F161F3"/>
    <w:rsid w:val="00F2330A"/>
    <w:rsid w:val="00F2353F"/>
    <w:rsid w:val="00F30B83"/>
    <w:rsid w:val="00F36C73"/>
    <w:rsid w:val="00F37BBC"/>
    <w:rsid w:val="00F41354"/>
    <w:rsid w:val="00F418E8"/>
    <w:rsid w:val="00F545B8"/>
    <w:rsid w:val="00F54807"/>
    <w:rsid w:val="00F606FD"/>
    <w:rsid w:val="00F65933"/>
    <w:rsid w:val="00F7475F"/>
    <w:rsid w:val="00F8411C"/>
    <w:rsid w:val="00F91CE6"/>
    <w:rsid w:val="00F920BD"/>
    <w:rsid w:val="00FB110F"/>
    <w:rsid w:val="00FB202D"/>
    <w:rsid w:val="00FB229A"/>
    <w:rsid w:val="00FB3B23"/>
    <w:rsid w:val="00FB7D38"/>
    <w:rsid w:val="00FC2601"/>
    <w:rsid w:val="00FC5589"/>
    <w:rsid w:val="00FD7579"/>
    <w:rsid w:val="00FE5726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96"/>
  <w15:docId w15:val="{B8F95DEF-87D8-4853-8E30-A3547E05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lang w:val="fi-F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016D"/>
    <w:rPr>
      <w:rFonts w:ascii="Cambria" w:eastAsia="Times New Roman" w:hAnsi="Cambria" w:cs="Times New Roman"/>
      <w:b/>
      <w:bCs/>
      <w:kern w:val="32"/>
      <w:sz w:val="32"/>
      <w:szCs w:val="32"/>
      <w:lang w:val="fi-FI"/>
    </w:rPr>
  </w:style>
  <w:style w:type="character" w:customStyle="1" w:styleId="Heading2Char">
    <w:name w:val="Heading 2 Char"/>
    <w:link w:val="Heading2"/>
    <w:uiPriority w:val="9"/>
    <w:semiHidden/>
    <w:rsid w:val="00C5016D"/>
    <w:rPr>
      <w:rFonts w:ascii="Cambria" w:eastAsia="Times New Roman" w:hAnsi="Cambria" w:cs="Times New Roman"/>
      <w:b/>
      <w:bCs/>
      <w:i/>
      <w:iCs/>
      <w:sz w:val="28"/>
      <w:szCs w:val="28"/>
      <w:lang w:val="fi-FI"/>
    </w:rPr>
  </w:style>
  <w:style w:type="paragraph" w:styleId="BodyTextIndent">
    <w:name w:val="Body Text Indent"/>
    <w:basedOn w:val="Normal"/>
    <w:link w:val="BodyTextIndentChar"/>
    <w:uiPriority w:val="99"/>
    <w:rsid w:val="0007362C"/>
    <w:pPr>
      <w:spacing w:before="120"/>
      <w:ind w:firstLine="284"/>
      <w:jc w:val="both"/>
    </w:pPr>
    <w:rPr>
      <w:rFonts w:ascii="Times New Roman" w:hAnsi="Times New Roman"/>
      <w:lang w:val="de-DE"/>
    </w:rPr>
  </w:style>
  <w:style w:type="character" w:customStyle="1" w:styleId="BodyTextIndentChar">
    <w:name w:val="Body Text Indent Char"/>
    <w:link w:val="BodyTextIndent"/>
    <w:uiPriority w:val="99"/>
    <w:semiHidden/>
    <w:rsid w:val="00C5016D"/>
    <w:rPr>
      <w:rFonts w:ascii=".VnTime" w:hAnsi=".VnTime"/>
      <w:sz w:val="28"/>
      <w:szCs w:val="20"/>
      <w:lang w:val="fi-FI"/>
    </w:rPr>
  </w:style>
  <w:style w:type="paragraph" w:styleId="Header">
    <w:name w:val="header"/>
    <w:basedOn w:val="Normal"/>
    <w:link w:val="HeaderChar1"/>
    <w:uiPriority w:val="99"/>
    <w:rsid w:val="001D4CEF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semiHidden/>
    <w:rsid w:val="00C5016D"/>
    <w:rPr>
      <w:rFonts w:ascii=".VnTime" w:hAnsi=".VnTime"/>
      <w:sz w:val="28"/>
      <w:szCs w:val="20"/>
      <w:lang w:val="fi-FI"/>
    </w:rPr>
  </w:style>
  <w:style w:type="character" w:customStyle="1" w:styleId="HeaderChar1">
    <w:name w:val="Header Char1"/>
    <w:link w:val="Header"/>
    <w:uiPriority w:val="99"/>
    <w:locked/>
    <w:rsid w:val="001D4CEF"/>
    <w:rPr>
      <w:rFonts w:ascii=".VnTime" w:hAnsi=".VnTime"/>
      <w:snapToGrid w:val="0"/>
      <w:sz w:val="28"/>
      <w:lang w:val="fi-FI" w:eastAsia="x-none"/>
    </w:rPr>
  </w:style>
  <w:style w:type="paragraph" w:styleId="Footer">
    <w:name w:val="footer"/>
    <w:basedOn w:val="Normal"/>
    <w:link w:val="FooterChar1"/>
    <w:uiPriority w:val="99"/>
    <w:semiHidden/>
    <w:rsid w:val="001D4CEF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semiHidden/>
    <w:rsid w:val="00C5016D"/>
    <w:rPr>
      <w:rFonts w:ascii=".VnTime" w:hAnsi=".VnTime"/>
      <w:sz w:val="28"/>
      <w:szCs w:val="20"/>
      <w:lang w:val="fi-FI"/>
    </w:rPr>
  </w:style>
  <w:style w:type="character" w:customStyle="1" w:styleId="FooterChar1">
    <w:name w:val="Footer Char1"/>
    <w:link w:val="Footer"/>
    <w:uiPriority w:val="99"/>
    <w:semiHidden/>
    <w:locked/>
    <w:rsid w:val="001D4CEF"/>
    <w:rPr>
      <w:rFonts w:ascii=".VnTime" w:hAnsi=".VnTime"/>
      <w:snapToGrid w:val="0"/>
      <w:sz w:val="28"/>
      <w:lang w:val="fi-FI" w:eastAsia="x-none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2459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2459E9"/>
    <w:rPr>
      <w:sz w:val="24"/>
      <w:szCs w:val="24"/>
    </w:rPr>
  </w:style>
  <w:style w:type="paragraph" w:customStyle="1" w:styleId="Normal1">
    <w:name w:val="Normal1"/>
    <w:rsid w:val="00B6111B"/>
    <w:rPr>
      <w:sz w:val="28"/>
      <w:szCs w:val="28"/>
      <w:lang w:val="nl-NL"/>
    </w:rPr>
  </w:style>
  <w:style w:type="paragraph" w:customStyle="1" w:styleId="CharChar2CharCharCharCharCharCharCharChar">
    <w:name w:val="Char Char2 Char Char Char Char Char Char Char Char"/>
    <w:basedOn w:val="Normal"/>
    <w:next w:val="Normal"/>
    <w:autoRedefine/>
    <w:semiHidden/>
    <w:rsid w:val="005426DB"/>
    <w:pPr>
      <w:spacing w:before="120" w:after="120" w:line="312" w:lineRule="auto"/>
    </w:pPr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DFBE3-1545-4B90-91C9-24E796B02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D6F28-CDEF-4B95-A57E-4A36C97A1D13}"/>
</file>

<file path=customXml/itemProps3.xml><?xml version="1.0" encoding="utf-8"?>
<ds:datastoreItem xmlns:ds="http://schemas.openxmlformats.org/officeDocument/2006/customXml" ds:itemID="{0232B815-B71E-4E75-BE9A-4214419B4CCE}"/>
</file>

<file path=customXml/itemProps4.xml><?xml version="1.0" encoding="utf-8"?>
<ds:datastoreItem xmlns:ds="http://schemas.openxmlformats.org/officeDocument/2006/customXml" ds:itemID="{B3A6A5B9-006D-4D29-9585-CF032A5FC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</vt:lpstr>
    </vt:vector>
  </TitlesOfParts>
  <Company>VPUBND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</dc:title>
  <dc:subject/>
  <dc:creator>Unknown</dc:creator>
  <cp:keywords/>
  <dc:description/>
  <cp:lastModifiedBy>21AK22</cp:lastModifiedBy>
  <cp:revision>2</cp:revision>
  <cp:lastPrinted>2024-06-13T02:23:00Z</cp:lastPrinted>
  <dcterms:created xsi:type="dcterms:W3CDTF">2024-06-27T01:06:00Z</dcterms:created>
  <dcterms:modified xsi:type="dcterms:W3CDTF">2024-06-27T01:06:00Z</dcterms:modified>
</cp:coreProperties>
</file>